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51C36">
      <w:pPr>
        <w:pStyle w:val="4"/>
        <w:ind w:left="0" w:leftChars="0" w:firstLine="0" w:firstLineChars="0"/>
        <w:rPr>
          <w:rFonts w:hint="eastAsia"/>
        </w:rPr>
      </w:pPr>
    </w:p>
    <w:p w14:paraId="6CFC1EDB">
      <w:pPr>
        <w:pStyle w:val="4"/>
        <w:ind w:left="0" w:leftChars="0" w:firstLine="0" w:firstLineChars="0"/>
        <w:rPr>
          <w:rFonts w:hint="eastAsia"/>
        </w:rPr>
      </w:pPr>
    </w:p>
    <w:p w14:paraId="4E9EAD09">
      <w:pPr>
        <w:pStyle w:val="4"/>
        <w:ind w:left="0" w:leftChars="0" w:firstLine="0" w:firstLineChars="0"/>
      </w:pPr>
      <w:r>
        <w:rPr>
          <w:rFonts w:hint="eastAsia"/>
        </w:rPr>
        <w:t xml:space="preserve"> </w:t>
      </w:r>
      <w:r>
        <w:t xml:space="preserve">                                 </w:t>
      </w:r>
    </w:p>
    <w:p w14:paraId="62C3F2C2">
      <w:pPr>
        <w:rPr>
          <w:rFonts w:hint="eastAsia"/>
        </w:rPr>
      </w:pPr>
    </w:p>
    <w:p w14:paraId="4534AD30">
      <w:pPr>
        <w:pStyle w:val="8"/>
        <w:rPr>
          <w:rFonts w:hint="eastAsia"/>
        </w:rPr>
      </w:pPr>
    </w:p>
    <w:p w14:paraId="3291C9FF">
      <w:pPr>
        <w:pStyle w:val="8"/>
        <w:rPr>
          <w:rFonts w:hint="eastAsia"/>
        </w:rPr>
      </w:pPr>
    </w:p>
    <w:p w14:paraId="68147A0D">
      <w:pPr>
        <w:jc w:val="center"/>
        <w:rPr>
          <w:rFonts w:hint="eastAsia"/>
          <w:b/>
          <w:sz w:val="44"/>
          <w:szCs w:val="44"/>
        </w:rPr>
      </w:pPr>
      <w:r>
        <w:rPr>
          <w:b/>
          <w:sz w:val="44"/>
          <w:szCs w:val="44"/>
        </w:rPr>
        <w:t>山西煤机装备制造有限责任公司</w:t>
      </w:r>
    </w:p>
    <w:p w14:paraId="5CB0B275">
      <w:pPr>
        <w:jc w:val="center"/>
        <w:rPr>
          <w:rFonts w:hint="eastAsia"/>
          <w:b/>
          <w:sz w:val="44"/>
          <w:szCs w:val="44"/>
        </w:rPr>
      </w:pPr>
    </w:p>
    <w:p w14:paraId="6F1405B2">
      <w:pPr>
        <w:jc w:val="center"/>
        <w:rPr>
          <w:rFonts w:hint="eastAsia"/>
          <w:b/>
          <w:sz w:val="44"/>
          <w:szCs w:val="44"/>
          <w:lang w:eastAsia="zh-CN"/>
        </w:rPr>
      </w:pPr>
    </w:p>
    <w:p w14:paraId="3D0C5D69">
      <w:pPr>
        <w:jc w:val="center"/>
        <w:rPr>
          <w:rFonts w:hint="eastAsia"/>
          <w:b/>
          <w:sz w:val="44"/>
          <w:szCs w:val="44"/>
          <w:lang w:eastAsia="zh-CN"/>
        </w:rPr>
      </w:pPr>
    </w:p>
    <w:p w14:paraId="74403F84">
      <w:pPr>
        <w:jc w:val="center"/>
        <w:rPr>
          <w:rFonts w:hint="eastAsia"/>
          <w:b/>
          <w:sz w:val="44"/>
          <w:szCs w:val="44"/>
          <w:lang w:eastAsia="zh-CN"/>
        </w:rPr>
      </w:pPr>
    </w:p>
    <w:p w14:paraId="1C30896F">
      <w:pPr>
        <w:jc w:val="center"/>
        <w:rPr>
          <w:rFonts w:hint="eastAsia"/>
          <w:b/>
          <w:sz w:val="44"/>
          <w:szCs w:val="44"/>
        </w:rPr>
      </w:pPr>
      <w:r>
        <w:rPr>
          <w:rFonts w:hint="eastAsia"/>
          <w:b/>
          <w:sz w:val="44"/>
          <w:szCs w:val="44"/>
          <w:lang w:eastAsia="zh-CN"/>
        </w:rPr>
        <w:t>办公楼</w:t>
      </w:r>
      <w:r>
        <w:rPr>
          <w:rFonts w:hint="eastAsia"/>
          <w:b/>
          <w:sz w:val="44"/>
          <w:szCs w:val="44"/>
        </w:rPr>
        <w:t>家具谈判采购邀请文件</w:t>
      </w:r>
    </w:p>
    <w:p w14:paraId="6FA6FBC0">
      <w:pPr>
        <w:jc w:val="center"/>
        <w:rPr>
          <w:rFonts w:hint="eastAsia"/>
          <w:sz w:val="32"/>
          <w:szCs w:val="32"/>
        </w:rPr>
      </w:pPr>
    </w:p>
    <w:p w14:paraId="1ADE9BE8">
      <w:pPr>
        <w:adjustRightInd w:val="0"/>
        <w:snapToGrid w:val="0"/>
        <w:spacing w:line="360" w:lineRule="auto"/>
        <w:ind w:firstLine="2108" w:firstLineChars="700"/>
        <w:jc w:val="both"/>
        <w:rPr>
          <w:rFonts w:hint="default" w:ascii="宋体" w:hAnsi="宋体" w:eastAsia="宋体" w:cs="仿宋_GB2312"/>
          <w:b/>
          <w:sz w:val="30"/>
          <w:szCs w:val="30"/>
          <w:lang w:val="en-US" w:eastAsia="zh-CN"/>
        </w:rPr>
      </w:pPr>
      <w:r>
        <w:rPr>
          <w:rFonts w:hint="eastAsia" w:ascii="宋体" w:hAnsi="宋体" w:cs="仿宋_GB2312"/>
          <w:b/>
          <w:sz w:val="30"/>
          <w:szCs w:val="30"/>
          <w:lang w:eastAsia="zh-CN"/>
        </w:rPr>
        <w:t>（</w:t>
      </w:r>
      <w:r>
        <w:rPr>
          <w:rFonts w:hint="eastAsia" w:ascii="宋体" w:hAnsi="宋体" w:cs="仿宋_GB2312"/>
          <w:b/>
          <w:sz w:val="30"/>
          <w:szCs w:val="30"/>
        </w:rPr>
        <w:t>文件编号：</w:t>
      </w:r>
      <w:r>
        <w:rPr>
          <w:rFonts w:hint="eastAsia" w:ascii="宋体" w:hAnsi="宋体" w:cs="仿宋_GB2312"/>
          <w:b/>
          <w:sz w:val="30"/>
          <w:szCs w:val="30"/>
          <w:lang w:val="en-US" w:eastAsia="zh-CN"/>
        </w:rPr>
        <w:t>SXMJZB-20240628</w:t>
      </w:r>
      <w:r>
        <w:rPr>
          <w:rFonts w:hint="eastAsia" w:ascii="宋体" w:hAnsi="宋体" w:cs="仿宋_GB2312"/>
          <w:b/>
          <w:sz w:val="30"/>
          <w:szCs w:val="30"/>
          <w:lang w:eastAsia="zh-CN"/>
        </w:rPr>
        <w:t>）</w:t>
      </w:r>
    </w:p>
    <w:p w14:paraId="1AB486B6">
      <w:pPr>
        <w:spacing w:line="360" w:lineRule="auto"/>
        <w:jc w:val="center"/>
        <w:rPr>
          <w:rFonts w:hint="eastAsia"/>
          <w:b/>
          <w:sz w:val="36"/>
          <w:szCs w:val="36"/>
        </w:rPr>
      </w:pPr>
    </w:p>
    <w:p w14:paraId="3C128397">
      <w:pPr>
        <w:spacing w:line="360" w:lineRule="auto"/>
        <w:jc w:val="center"/>
        <w:rPr>
          <w:rFonts w:hint="eastAsia"/>
          <w:b/>
          <w:sz w:val="36"/>
          <w:szCs w:val="36"/>
        </w:rPr>
      </w:pPr>
    </w:p>
    <w:p w14:paraId="393E56EA">
      <w:pPr>
        <w:spacing w:line="360" w:lineRule="auto"/>
        <w:jc w:val="center"/>
        <w:rPr>
          <w:rFonts w:hint="eastAsia"/>
          <w:b/>
          <w:sz w:val="36"/>
          <w:szCs w:val="36"/>
        </w:rPr>
      </w:pPr>
    </w:p>
    <w:p w14:paraId="36A6876E">
      <w:pPr>
        <w:spacing w:line="360" w:lineRule="auto"/>
        <w:jc w:val="center"/>
        <w:rPr>
          <w:rFonts w:hint="eastAsia"/>
          <w:b/>
          <w:sz w:val="36"/>
          <w:szCs w:val="36"/>
        </w:rPr>
      </w:pPr>
    </w:p>
    <w:p w14:paraId="45ADCEBC">
      <w:pPr>
        <w:spacing w:line="360" w:lineRule="auto"/>
        <w:jc w:val="center"/>
        <w:rPr>
          <w:rFonts w:hint="eastAsia"/>
          <w:b/>
          <w:sz w:val="36"/>
          <w:szCs w:val="36"/>
        </w:rPr>
      </w:pPr>
    </w:p>
    <w:p w14:paraId="41FE2A7E">
      <w:pPr>
        <w:spacing w:line="360" w:lineRule="auto"/>
        <w:jc w:val="center"/>
        <w:rPr>
          <w:rFonts w:hint="eastAsia"/>
          <w:b/>
          <w:sz w:val="36"/>
          <w:szCs w:val="36"/>
        </w:rPr>
      </w:pPr>
    </w:p>
    <w:p w14:paraId="6D531740">
      <w:pPr>
        <w:spacing w:line="360" w:lineRule="auto"/>
        <w:jc w:val="both"/>
        <w:rPr>
          <w:rFonts w:hint="eastAsia"/>
          <w:b/>
          <w:sz w:val="36"/>
          <w:szCs w:val="36"/>
        </w:rPr>
      </w:pPr>
    </w:p>
    <w:p w14:paraId="6D4C13A2">
      <w:pPr>
        <w:spacing w:line="360" w:lineRule="auto"/>
        <w:jc w:val="both"/>
        <w:rPr>
          <w:rFonts w:hint="eastAsia"/>
          <w:b/>
          <w:sz w:val="36"/>
          <w:szCs w:val="36"/>
        </w:rPr>
      </w:pPr>
    </w:p>
    <w:p w14:paraId="04D2E2EC">
      <w:pPr>
        <w:spacing w:line="360" w:lineRule="auto"/>
        <w:jc w:val="both"/>
        <w:rPr>
          <w:rFonts w:hint="eastAsia"/>
          <w:b/>
          <w:sz w:val="36"/>
          <w:szCs w:val="36"/>
        </w:rPr>
      </w:pPr>
    </w:p>
    <w:p w14:paraId="3C2390E6">
      <w:pPr>
        <w:adjustRightInd w:val="0"/>
        <w:snapToGrid w:val="0"/>
        <w:spacing w:line="360" w:lineRule="auto"/>
        <w:jc w:val="center"/>
        <w:rPr>
          <w:rStyle w:val="35"/>
          <w:rFonts w:hint="eastAsia" w:ascii="宋体" w:hAnsi="宋体" w:cs="仿宋_GB2312"/>
          <w:b/>
          <w:color w:val="000000"/>
          <w:sz w:val="30"/>
          <w:szCs w:val="30"/>
        </w:rPr>
      </w:pPr>
      <w:r>
        <w:rPr>
          <w:rStyle w:val="35"/>
          <w:rFonts w:hint="eastAsia" w:ascii="宋体" w:hAnsi="宋体" w:cs="仿宋_GB2312"/>
          <w:b/>
          <w:bCs/>
          <w:sz w:val="30"/>
          <w:szCs w:val="30"/>
        </w:rPr>
        <w:t>二〇二</w:t>
      </w:r>
      <w:r>
        <w:rPr>
          <w:rStyle w:val="35"/>
          <w:rFonts w:hint="eastAsia" w:ascii="宋体" w:hAnsi="宋体" w:cs="仿宋_GB2312"/>
          <w:b/>
          <w:bCs/>
          <w:sz w:val="30"/>
          <w:szCs w:val="30"/>
          <w:lang w:val="en-US" w:eastAsia="zh-CN"/>
        </w:rPr>
        <w:t>四</w:t>
      </w:r>
      <w:r>
        <w:rPr>
          <w:rStyle w:val="35"/>
          <w:rFonts w:hint="eastAsia" w:ascii="宋体" w:hAnsi="宋体" w:cs="仿宋_GB2312"/>
          <w:b/>
          <w:bCs/>
          <w:sz w:val="30"/>
          <w:szCs w:val="30"/>
        </w:rPr>
        <w:t>年</w:t>
      </w:r>
      <w:r>
        <w:rPr>
          <w:rStyle w:val="35"/>
          <w:rFonts w:hint="eastAsia" w:ascii="宋体" w:hAnsi="宋体" w:cs="仿宋_GB2312"/>
          <w:b/>
          <w:bCs/>
          <w:sz w:val="30"/>
          <w:szCs w:val="30"/>
          <w:lang w:val="en-US" w:eastAsia="zh-CN"/>
        </w:rPr>
        <w:t>六</w:t>
      </w:r>
      <w:r>
        <w:rPr>
          <w:rStyle w:val="35"/>
          <w:rFonts w:hint="eastAsia" w:ascii="宋体" w:hAnsi="宋体" w:cs="仿宋_GB2312"/>
          <w:b/>
          <w:bCs/>
          <w:sz w:val="30"/>
          <w:szCs w:val="30"/>
        </w:rPr>
        <w:t>月</w:t>
      </w:r>
    </w:p>
    <w:p w14:paraId="6CAA9073">
      <w:pPr>
        <w:adjustRightInd w:val="0"/>
        <w:snapToGrid w:val="0"/>
        <w:spacing w:line="360" w:lineRule="auto"/>
        <w:ind w:firstLine="3419" w:firstLineChars="946"/>
        <w:rPr>
          <w:b/>
          <w:sz w:val="36"/>
          <w:szCs w:val="36"/>
        </w:rPr>
      </w:pPr>
    </w:p>
    <w:p w14:paraId="129677D0">
      <w:pPr>
        <w:adjustRightInd w:val="0"/>
        <w:snapToGrid w:val="0"/>
        <w:spacing w:line="360" w:lineRule="auto"/>
        <w:ind w:firstLine="3419" w:firstLineChars="946"/>
        <w:rPr>
          <w:b/>
          <w:sz w:val="36"/>
          <w:szCs w:val="36"/>
        </w:rPr>
      </w:pPr>
    </w:p>
    <w:p w14:paraId="0AF4CB44">
      <w:pPr>
        <w:pStyle w:val="17"/>
        <w:widowControl w:val="0"/>
        <w:adjustRightInd w:val="0"/>
        <w:snapToGrid w:val="0"/>
        <w:spacing w:before="0" w:beforeAutospacing="0" w:after="0" w:afterAutospacing="0" w:line="360" w:lineRule="auto"/>
        <w:jc w:val="center"/>
        <w:rPr>
          <w:rStyle w:val="35"/>
          <w:rFonts w:hint="eastAsia" w:ascii="_x000B__x000C_" w:hAnsi="_x000B__x000C_"/>
          <w:color w:val="auto"/>
          <w:sz w:val="32"/>
          <w:szCs w:val="32"/>
        </w:rPr>
      </w:pPr>
      <w:r>
        <w:rPr>
          <w:rStyle w:val="35"/>
          <w:rFonts w:hint="eastAsia" w:ascii="_x000B__x000C_" w:hAnsi="_x000B__x000C_" w:cs="仿宋_GB2312"/>
          <w:b/>
          <w:bCs/>
          <w:color w:val="auto"/>
          <w:sz w:val="32"/>
          <w:szCs w:val="32"/>
        </w:rPr>
        <w:t>家具谈判采购邀请函</w:t>
      </w:r>
    </w:p>
    <w:p w14:paraId="7EEE6809">
      <w:pPr>
        <w:spacing w:line="360" w:lineRule="auto"/>
        <w:ind w:firstLine="480" w:firstLineChars="200"/>
        <w:jc w:val="left"/>
        <w:rPr>
          <w:rFonts w:hint="eastAsia" w:cs="仿宋_GB2312"/>
          <w:color w:val="auto"/>
          <w:sz w:val="24"/>
        </w:rPr>
      </w:pPr>
      <w:r>
        <w:rPr>
          <w:rFonts w:ascii="宋体" w:hAnsi="宋体"/>
          <w:color w:val="auto"/>
          <w:sz w:val="24"/>
        </w:rPr>
        <w:t>山西煤机装备制造有限责任公司</w:t>
      </w:r>
      <w:r>
        <w:rPr>
          <w:rFonts w:hint="eastAsia" w:ascii="宋体" w:hAnsi="宋体"/>
          <w:color w:val="auto"/>
          <w:sz w:val="24"/>
        </w:rPr>
        <w:t>组织的</w:t>
      </w:r>
      <w:r>
        <w:rPr>
          <w:rFonts w:hint="eastAsia" w:ascii="宋体" w:hAnsi="宋体"/>
          <w:color w:val="auto"/>
          <w:sz w:val="24"/>
          <w:lang w:eastAsia="zh-CN"/>
        </w:rPr>
        <w:t>办公楼</w:t>
      </w:r>
      <w:r>
        <w:rPr>
          <w:rFonts w:hint="eastAsia" w:ascii="宋体" w:hAnsi="宋体"/>
          <w:color w:val="auto"/>
          <w:sz w:val="24"/>
          <w:lang w:val="en-US" w:eastAsia="zh-CN"/>
        </w:rPr>
        <w:t>家具</w:t>
      </w:r>
      <w:r>
        <w:rPr>
          <w:rFonts w:hint="eastAsia" w:ascii="宋体" w:hAnsi="宋体"/>
          <w:color w:val="auto"/>
          <w:sz w:val="24"/>
        </w:rPr>
        <w:t>采购项目拟采取竞争性谈判方式购置，特邀请贵公司按照以下要求，准备好谈判资料准时参加谈判会议。</w:t>
      </w:r>
    </w:p>
    <w:p w14:paraId="22A7ED1F">
      <w:pPr>
        <w:pStyle w:val="17"/>
        <w:widowControl w:val="0"/>
        <w:numPr>
          <w:ilvl w:val="0"/>
          <w:numId w:val="1"/>
        </w:numPr>
        <w:adjustRightInd w:val="0"/>
        <w:snapToGrid w:val="0"/>
        <w:spacing w:before="0" w:beforeAutospacing="0" w:after="0" w:afterAutospacing="0" w:line="360" w:lineRule="auto"/>
        <w:ind w:firstLine="482" w:firstLineChars="200"/>
        <w:rPr>
          <w:rFonts w:hint="eastAsia" w:cs="仿宋_GB2312"/>
          <w:b/>
          <w:bCs/>
          <w:color w:val="auto"/>
          <w:sz w:val="24"/>
          <w:szCs w:val="24"/>
        </w:rPr>
      </w:pPr>
      <w:r>
        <w:rPr>
          <w:rFonts w:hint="eastAsia" w:cs="仿宋_GB2312"/>
          <w:b/>
          <w:bCs/>
          <w:color w:val="auto"/>
          <w:sz w:val="24"/>
          <w:szCs w:val="24"/>
        </w:rPr>
        <w:t>文件编号：</w:t>
      </w:r>
      <w:r>
        <w:rPr>
          <w:rFonts w:hint="eastAsia" w:cs="仿宋_GB2312"/>
          <w:b/>
          <w:bCs/>
          <w:color w:val="auto"/>
          <w:sz w:val="24"/>
          <w:szCs w:val="24"/>
          <w:lang w:val="en-US" w:eastAsia="zh-CN"/>
        </w:rPr>
        <w:t>SXMJZB-20240628</w:t>
      </w:r>
    </w:p>
    <w:p w14:paraId="5DB6A94E">
      <w:pPr>
        <w:pStyle w:val="17"/>
        <w:widowControl w:val="0"/>
        <w:numPr>
          <w:ilvl w:val="0"/>
          <w:numId w:val="1"/>
        </w:numPr>
        <w:adjustRightInd w:val="0"/>
        <w:snapToGrid w:val="0"/>
        <w:spacing w:before="0" w:beforeAutospacing="0" w:after="0" w:afterAutospacing="0" w:line="360" w:lineRule="auto"/>
        <w:ind w:firstLine="482" w:firstLineChars="200"/>
        <w:rPr>
          <w:rFonts w:hint="eastAsia" w:cs="仿宋_GB2312"/>
          <w:color w:val="auto"/>
          <w:sz w:val="24"/>
          <w:szCs w:val="24"/>
        </w:rPr>
      </w:pPr>
      <w:r>
        <w:rPr>
          <w:rFonts w:hint="eastAsia" w:cs="仿宋_GB2312"/>
          <w:b/>
          <w:bCs/>
          <w:color w:val="auto"/>
          <w:sz w:val="24"/>
          <w:szCs w:val="24"/>
        </w:rPr>
        <w:t>采购单位：</w:t>
      </w:r>
      <w:r>
        <w:rPr>
          <w:color w:val="auto"/>
          <w:sz w:val="24"/>
          <w:szCs w:val="24"/>
        </w:rPr>
        <w:t>山西煤机装备制造有限责任公司</w:t>
      </w:r>
    </w:p>
    <w:p w14:paraId="5F446967">
      <w:pPr>
        <w:pStyle w:val="17"/>
        <w:widowControl w:val="0"/>
        <w:adjustRightInd w:val="0"/>
        <w:snapToGrid w:val="0"/>
        <w:spacing w:before="0" w:beforeAutospacing="0" w:after="0" w:afterAutospacing="0" w:line="360" w:lineRule="auto"/>
        <w:ind w:firstLine="482" w:firstLineChars="200"/>
        <w:rPr>
          <w:rFonts w:hint="default" w:eastAsia="宋体" w:cs="仿宋_GB2312"/>
          <w:b/>
          <w:bCs/>
          <w:color w:val="auto"/>
          <w:sz w:val="24"/>
          <w:szCs w:val="24"/>
          <w:lang w:val="en-US" w:eastAsia="zh-CN"/>
        </w:rPr>
      </w:pPr>
      <w:r>
        <w:rPr>
          <w:rFonts w:cs="仿宋_GB2312"/>
          <w:b/>
          <w:bCs/>
          <w:color w:val="auto"/>
          <w:sz w:val="24"/>
          <w:szCs w:val="24"/>
        </w:rPr>
        <w:t>3</w:t>
      </w:r>
      <w:r>
        <w:rPr>
          <w:rFonts w:hint="eastAsia" w:cs="仿宋_GB2312"/>
          <w:b/>
          <w:bCs/>
          <w:color w:val="auto"/>
          <w:sz w:val="24"/>
          <w:szCs w:val="24"/>
        </w:rPr>
        <w:t>、谈判项目：</w:t>
      </w:r>
      <w:r>
        <w:rPr>
          <w:rFonts w:hint="eastAsia"/>
          <w:color w:val="auto"/>
          <w:sz w:val="24"/>
          <w:szCs w:val="24"/>
          <w:lang w:eastAsia="zh-CN"/>
        </w:rPr>
        <w:t>办公楼</w:t>
      </w:r>
      <w:r>
        <w:rPr>
          <w:rFonts w:hint="eastAsia"/>
          <w:color w:val="auto"/>
          <w:sz w:val="24"/>
          <w:szCs w:val="24"/>
        </w:rPr>
        <w:t>家具</w:t>
      </w:r>
      <w:r>
        <w:rPr>
          <w:rFonts w:hint="eastAsia"/>
          <w:color w:val="auto"/>
          <w:sz w:val="24"/>
          <w:szCs w:val="24"/>
          <w:lang w:val="en-US" w:eastAsia="zh-CN"/>
        </w:rPr>
        <w:t>采购项目</w:t>
      </w:r>
    </w:p>
    <w:p w14:paraId="19E9EC74">
      <w:pPr>
        <w:pStyle w:val="17"/>
        <w:widowControl w:val="0"/>
        <w:adjustRightInd w:val="0"/>
        <w:snapToGrid w:val="0"/>
        <w:spacing w:before="0" w:beforeAutospacing="0" w:after="0" w:afterAutospacing="0" w:line="360" w:lineRule="auto"/>
        <w:ind w:firstLine="482" w:firstLineChars="200"/>
        <w:rPr>
          <w:color w:val="auto"/>
        </w:rPr>
      </w:pPr>
      <w:r>
        <w:rPr>
          <w:rFonts w:hint="eastAsia" w:cs="仿宋_GB2312"/>
          <w:b/>
          <w:color w:val="auto"/>
          <w:sz w:val="24"/>
          <w:szCs w:val="24"/>
        </w:rPr>
        <w:t>4、谈判物资一览表：</w:t>
      </w:r>
      <w:r>
        <w:rPr>
          <w:color w:val="auto"/>
        </w:rPr>
        <w:t xml:space="preserve"> </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95"/>
        <w:gridCol w:w="1985"/>
        <w:gridCol w:w="849"/>
        <w:gridCol w:w="723"/>
        <w:gridCol w:w="2960"/>
      </w:tblGrid>
      <w:tr w14:paraId="7DD5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10" w:type="dxa"/>
            <w:noWrap w:val="0"/>
            <w:vAlign w:val="center"/>
          </w:tcPr>
          <w:p w14:paraId="4DB4BD30">
            <w:pPr>
              <w:pStyle w:val="17"/>
              <w:adjustRightInd w:val="0"/>
              <w:snapToGrid w:val="0"/>
              <w:spacing w:line="360" w:lineRule="auto"/>
              <w:rPr>
                <w:rFonts w:hint="eastAsia" w:cs="仿宋_GB2312"/>
                <w:b/>
                <w:bCs/>
                <w:color w:val="auto"/>
                <w:sz w:val="24"/>
              </w:rPr>
            </w:pPr>
            <w:r>
              <w:rPr>
                <w:rFonts w:hint="eastAsia" w:cs="仿宋_GB2312"/>
                <w:b/>
                <w:bCs/>
                <w:color w:val="auto"/>
                <w:sz w:val="24"/>
              </w:rPr>
              <w:t>序号</w:t>
            </w:r>
          </w:p>
        </w:tc>
        <w:tc>
          <w:tcPr>
            <w:tcW w:w="2095" w:type="dxa"/>
            <w:noWrap w:val="0"/>
            <w:vAlign w:val="center"/>
          </w:tcPr>
          <w:p w14:paraId="0AA8EC4E">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项目名称</w:t>
            </w:r>
          </w:p>
        </w:tc>
        <w:tc>
          <w:tcPr>
            <w:tcW w:w="1985" w:type="dxa"/>
            <w:noWrap w:val="0"/>
            <w:vAlign w:val="center"/>
          </w:tcPr>
          <w:p w14:paraId="003422CB">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型号和规格</w:t>
            </w:r>
          </w:p>
        </w:tc>
        <w:tc>
          <w:tcPr>
            <w:tcW w:w="849" w:type="dxa"/>
            <w:noWrap w:val="0"/>
            <w:vAlign w:val="center"/>
          </w:tcPr>
          <w:p w14:paraId="1899187F">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数量</w:t>
            </w:r>
          </w:p>
        </w:tc>
        <w:tc>
          <w:tcPr>
            <w:tcW w:w="723" w:type="dxa"/>
            <w:noWrap w:val="0"/>
            <w:vAlign w:val="center"/>
          </w:tcPr>
          <w:p w14:paraId="73FDE04E">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单位</w:t>
            </w:r>
          </w:p>
        </w:tc>
        <w:tc>
          <w:tcPr>
            <w:tcW w:w="2960" w:type="dxa"/>
            <w:noWrap w:val="0"/>
            <w:vAlign w:val="center"/>
          </w:tcPr>
          <w:p w14:paraId="4FAB8C5D">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备注</w:t>
            </w:r>
          </w:p>
        </w:tc>
      </w:tr>
      <w:tr w14:paraId="28E3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0" w:type="dxa"/>
            <w:noWrap w:val="0"/>
            <w:vAlign w:val="center"/>
          </w:tcPr>
          <w:p w14:paraId="6192E69D">
            <w:pPr>
              <w:pStyle w:val="17"/>
              <w:adjustRightInd w:val="0"/>
              <w:snapToGrid w:val="0"/>
              <w:spacing w:line="360" w:lineRule="auto"/>
              <w:rPr>
                <w:rFonts w:hint="eastAsia" w:cs="仿宋_GB2312"/>
                <w:b/>
                <w:bCs/>
                <w:color w:val="auto"/>
                <w:sz w:val="24"/>
              </w:rPr>
            </w:pPr>
            <w:r>
              <w:rPr>
                <w:rFonts w:hint="eastAsia" w:cs="仿宋_GB2312"/>
                <w:b/>
                <w:bCs/>
                <w:color w:val="auto"/>
                <w:sz w:val="24"/>
              </w:rPr>
              <w:t>1</w:t>
            </w:r>
          </w:p>
        </w:tc>
        <w:tc>
          <w:tcPr>
            <w:tcW w:w="2095" w:type="dxa"/>
            <w:noWrap w:val="0"/>
            <w:vAlign w:val="center"/>
          </w:tcPr>
          <w:p w14:paraId="748769D4">
            <w:pPr>
              <w:pStyle w:val="17"/>
              <w:adjustRightInd w:val="0"/>
              <w:snapToGrid w:val="0"/>
              <w:spacing w:line="360" w:lineRule="auto"/>
              <w:jc w:val="center"/>
              <w:rPr>
                <w:rFonts w:hint="default" w:eastAsia="宋体" w:cs="仿宋_GB2312"/>
                <w:b/>
                <w:bCs/>
                <w:color w:val="auto"/>
                <w:sz w:val="24"/>
                <w:lang w:val="en-US" w:eastAsia="zh-CN"/>
              </w:rPr>
            </w:pPr>
            <w:r>
              <w:rPr>
                <w:rFonts w:hint="eastAsia"/>
                <w:color w:val="auto"/>
                <w:sz w:val="24"/>
                <w:szCs w:val="24"/>
                <w:lang w:val="en-US" w:eastAsia="zh-CN"/>
              </w:rPr>
              <w:t>办公家具</w:t>
            </w:r>
          </w:p>
        </w:tc>
        <w:tc>
          <w:tcPr>
            <w:tcW w:w="1985" w:type="dxa"/>
            <w:noWrap w:val="0"/>
            <w:vAlign w:val="center"/>
          </w:tcPr>
          <w:p w14:paraId="3C5524E7">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附（技术要求）</w:t>
            </w:r>
            <w:r>
              <w:rPr>
                <w:rFonts w:cs="仿宋_GB2312"/>
                <w:b/>
                <w:bCs/>
                <w:color w:val="auto"/>
                <w:sz w:val="24"/>
              </w:rPr>
              <w:t xml:space="preserve"> </w:t>
            </w:r>
          </w:p>
        </w:tc>
        <w:tc>
          <w:tcPr>
            <w:tcW w:w="849" w:type="dxa"/>
            <w:noWrap w:val="0"/>
            <w:vAlign w:val="center"/>
          </w:tcPr>
          <w:p w14:paraId="7FACB053">
            <w:pPr>
              <w:pStyle w:val="17"/>
              <w:adjustRightInd w:val="0"/>
              <w:snapToGrid w:val="0"/>
              <w:spacing w:line="360" w:lineRule="auto"/>
              <w:jc w:val="center"/>
              <w:rPr>
                <w:rFonts w:hint="eastAsia" w:cs="仿宋_GB2312"/>
                <w:b/>
                <w:bCs/>
                <w:color w:val="auto"/>
                <w:sz w:val="24"/>
              </w:rPr>
            </w:pPr>
            <w:r>
              <w:rPr>
                <w:rFonts w:cs="仿宋_GB2312"/>
                <w:b/>
                <w:bCs/>
                <w:color w:val="auto"/>
                <w:sz w:val="24"/>
              </w:rPr>
              <w:t>1</w:t>
            </w:r>
          </w:p>
        </w:tc>
        <w:tc>
          <w:tcPr>
            <w:tcW w:w="723" w:type="dxa"/>
            <w:noWrap w:val="0"/>
            <w:vAlign w:val="center"/>
          </w:tcPr>
          <w:p w14:paraId="3B7DD3DE">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批</w:t>
            </w:r>
          </w:p>
        </w:tc>
        <w:tc>
          <w:tcPr>
            <w:tcW w:w="2960" w:type="dxa"/>
            <w:noWrap w:val="0"/>
            <w:vAlign w:val="center"/>
          </w:tcPr>
          <w:p w14:paraId="271F3C46">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 xml:space="preserve"> </w:t>
            </w:r>
          </w:p>
        </w:tc>
      </w:tr>
    </w:tbl>
    <w:p w14:paraId="722898CF">
      <w:pPr>
        <w:pStyle w:val="17"/>
        <w:widowControl w:val="0"/>
        <w:tabs>
          <w:tab w:val="left" w:pos="366"/>
        </w:tabs>
        <w:adjustRightInd w:val="0"/>
        <w:snapToGrid w:val="0"/>
        <w:spacing w:before="156" w:beforeLines="50" w:beforeAutospacing="0" w:after="0" w:afterAutospacing="0" w:line="360" w:lineRule="auto"/>
        <w:ind w:firstLine="482" w:firstLineChars="200"/>
        <w:rPr>
          <w:rFonts w:cs="仿宋_GB2312"/>
          <w:b/>
          <w:bCs/>
          <w:color w:val="auto"/>
          <w:sz w:val="24"/>
          <w:szCs w:val="24"/>
        </w:rPr>
      </w:pPr>
      <w:r>
        <w:rPr>
          <w:rFonts w:hint="eastAsia" w:cs="仿宋_GB2312"/>
          <w:b/>
          <w:bCs/>
          <w:color w:val="auto"/>
          <w:sz w:val="24"/>
          <w:szCs w:val="24"/>
        </w:rPr>
        <w:t>5、招标范围</w:t>
      </w:r>
    </w:p>
    <w:p w14:paraId="6942E9EE">
      <w:pPr>
        <w:spacing w:line="360" w:lineRule="auto"/>
        <w:ind w:firstLine="480" w:firstLineChars="200"/>
        <w:jc w:val="left"/>
        <w:rPr>
          <w:color w:val="auto"/>
        </w:rPr>
      </w:pPr>
      <w:r>
        <w:rPr>
          <w:rFonts w:hint="eastAsia" w:ascii="宋体" w:hAnsi="宋体"/>
          <w:color w:val="auto"/>
          <w:sz w:val="24"/>
        </w:rPr>
        <w:t>5.1</w:t>
      </w:r>
      <w:r>
        <w:rPr>
          <w:rFonts w:hint="eastAsia" w:ascii="宋体" w:hAnsi="宋体" w:cs="宋体"/>
          <w:color w:val="auto"/>
          <w:kern w:val="0"/>
          <w:sz w:val="24"/>
        </w:rPr>
        <w:t>家具的设计优化、制造、供货、包装运输（包括装卸至指定地点）、安装、验收、培训、技术服务、售后服务等</w:t>
      </w:r>
      <w:r>
        <w:rPr>
          <w:rFonts w:hint="eastAsia" w:ascii="宋体" w:hAnsi="宋体"/>
          <w:color w:val="auto"/>
          <w:sz w:val="24"/>
        </w:rPr>
        <w:t>。</w:t>
      </w:r>
    </w:p>
    <w:p w14:paraId="261AA43D">
      <w:pPr>
        <w:pStyle w:val="17"/>
        <w:widowControl w:val="0"/>
        <w:tabs>
          <w:tab w:val="left" w:pos="366"/>
        </w:tabs>
        <w:adjustRightInd w:val="0"/>
        <w:snapToGrid w:val="0"/>
        <w:spacing w:before="0" w:beforeAutospacing="0" w:after="0" w:afterAutospacing="0" w:line="360" w:lineRule="auto"/>
        <w:ind w:firstLine="482" w:firstLineChars="200"/>
        <w:rPr>
          <w:rFonts w:cs="仿宋_GB2312"/>
          <w:b/>
          <w:bCs/>
          <w:color w:val="auto"/>
          <w:sz w:val="24"/>
          <w:szCs w:val="24"/>
        </w:rPr>
      </w:pPr>
      <w:r>
        <w:rPr>
          <w:rFonts w:hint="eastAsia" w:cs="仿宋_GB2312"/>
          <w:b/>
          <w:bCs/>
          <w:color w:val="auto"/>
          <w:sz w:val="24"/>
          <w:szCs w:val="24"/>
        </w:rPr>
        <w:t>6、投标人资格：</w:t>
      </w:r>
    </w:p>
    <w:p w14:paraId="041C01D7">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6.1.</w:t>
      </w:r>
      <w:r>
        <w:rPr>
          <w:rFonts w:hint="eastAsia" w:ascii="宋体" w:hAnsi="宋体" w:eastAsia="宋体" w:cs="宋体"/>
          <w:color w:val="auto"/>
          <w:kern w:val="0"/>
          <w:sz w:val="24"/>
          <w:szCs w:val="24"/>
          <w:highlight w:val="none"/>
          <w:lang w:val="en-US" w:eastAsia="zh-CN" w:bidi="ar-SA"/>
        </w:rPr>
        <w:t>申请人必须具备独立法人资格，为家具生产制造商，且注册实缴资本≧</w:t>
      </w:r>
      <w:r>
        <w:rPr>
          <w:rFonts w:hint="eastAsia"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000万。（证明材料复印件并加盖单位公章）</w:t>
      </w:r>
    </w:p>
    <w:p w14:paraId="52DA1FD9">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6.2.</w:t>
      </w:r>
      <w:r>
        <w:rPr>
          <w:rFonts w:hint="eastAsia" w:ascii="宋体" w:hAnsi="宋体" w:eastAsia="宋体" w:cs="宋体"/>
          <w:color w:val="auto"/>
          <w:kern w:val="0"/>
          <w:sz w:val="24"/>
          <w:szCs w:val="24"/>
          <w:highlight w:val="none"/>
          <w:lang w:val="en-US" w:eastAsia="zh-CN" w:bidi="ar-SA"/>
        </w:rPr>
        <w:t>申请人须提供申请文件递交截止日前一年内连续三个月依法缴纳税收的证明材料（完税证明等），依法免税的</w:t>
      </w:r>
      <w:r>
        <w:rPr>
          <w:rFonts w:hint="eastAsia" w:cs="宋体"/>
          <w:color w:val="auto"/>
          <w:kern w:val="0"/>
          <w:sz w:val="24"/>
          <w:szCs w:val="24"/>
          <w:highlight w:val="none"/>
          <w:lang w:val="en-US" w:eastAsia="zh-CN" w:bidi="ar-SA"/>
        </w:rPr>
        <w:t>需</w:t>
      </w:r>
      <w:r>
        <w:rPr>
          <w:rFonts w:hint="eastAsia" w:ascii="宋体" w:hAnsi="宋体" w:eastAsia="宋体" w:cs="宋体"/>
          <w:color w:val="auto"/>
          <w:kern w:val="0"/>
          <w:sz w:val="24"/>
          <w:szCs w:val="24"/>
          <w:highlight w:val="none"/>
          <w:lang w:val="en-US" w:eastAsia="zh-CN" w:bidi="ar-SA"/>
        </w:rPr>
        <w:t>提供相应的证明文件。（证明材料复印件并加盖单位公章）</w:t>
      </w:r>
    </w:p>
    <w:p w14:paraId="31371409">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6.3.</w:t>
      </w:r>
      <w:r>
        <w:rPr>
          <w:rFonts w:hint="eastAsia" w:ascii="宋体" w:hAnsi="宋体" w:eastAsia="宋体" w:cs="宋体"/>
          <w:color w:val="auto"/>
          <w:kern w:val="0"/>
          <w:sz w:val="24"/>
          <w:szCs w:val="24"/>
          <w:highlight w:val="none"/>
          <w:lang w:val="en-US" w:eastAsia="zh-CN" w:bidi="ar-SA"/>
        </w:rPr>
        <w:t>申请人须提供申请文件递交截止日前一年内连续三个月缴纳社保资金的证明材料（缴款凭证等）。（证明材料复印件并加盖单位公章）</w:t>
      </w:r>
    </w:p>
    <w:p w14:paraId="230CF509">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6.4.</w:t>
      </w:r>
      <w:r>
        <w:rPr>
          <w:rFonts w:hint="eastAsia" w:ascii="宋体" w:hAnsi="宋体" w:eastAsia="宋体" w:cs="宋体"/>
          <w:color w:val="auto"/>
          <w:kern w:val="0"/>
          <w:sz w:val="24"/>
          <w:szCs w:val="24"/>
          <w:highlight w:val="none"/>
          <w:lang w:val="en-US" w:eastAsia="zh-CN" w:bidi="ar-SA"/>
        </w:rPr>
        <w:t>申请人须提供在人员、设备等方面具有承担本项目的能力（须提供证明材料及承诺由评委来判断是否具备其能力）。（格式及内容由投标人自拟并加盖单位公章）</w:t>
      </w:r>
    </w:p>
    <w:p w14:paraId="728DD24A">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6.5.</w:t>
      </w:r>
      <w:r>
        <w:rPr>
          <w:rFonts w:hint="eastAsia" w:ascii="宋体" w:hAnsi="宋体" w:eastAsia="宋体" w:cs="宋体"/>
          <w:color w:val="auto"/>
          <w:kern w:val="0"/>
          <w:sz w:val="24"/>
          <w:szCs w:val="24"/>
          <w:highlight w:val="none"/>
          <w:lang w:val="en-US" w:eastAsia="zh-CN" w:bidi="ar-SA"/>
        </w:rPr>
        <w:t>申请人必须具有良好的商业信誉和健全的财务会计制度,需提供 2021 年度至 2023年度经会计师事务所出具的财务审计报告，连续三年均无</w:t>
      </w:r>
      <w:r>
        <w:rPr>
          <w:rFonts w:hint="eastAsia" w:cs="宋体"/>
          <w:color w:val="auto"/>
          <w:kern w:val="0"/>
          <w:sz w:val="24"/>
          <w:szCs w:val="24"/>
          <w:highlight w:val="none"/>
          <w:lang w:val="en-US" w:eastAsia="zh-CN" w:bidi="ar-SA"/>
        </w:rPr>
        <w:t>亏损</w:t>
      </w:r>
      <w:r>
        <w:rPr>
          <w:rFonts w:hint="eastAsia" w:ascii="宋体" w:hAnsi="宋体" w:eastAsia="宋体" w:cs="宋体"/>
          <w:color w:val="auto"/>
          <w:kern w:val="0"/>
          <w:sz w:val="24"/>
          <w:szCs w:val="24"/>
          <w:highlight w:val="none"/>
          <w:lang w:val="en-US" w:eastAsia="zh-CN" w:bidi="ar-SA"/>
        </w:rPr>
        <w:t>，且所示财务年报表营业收入连续三年均达 6亿元及以上者为佳。（证明材料复印件并加盖单位公章）</w:t>
      </w:r>
    </w:p>
    <w:p w14:paraId="505120EE">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6.6.</w:t>
      </w:r>
      <w:r>
        <w:rPr>
          <w:rFonts w:hint="eastAsia" w:ascii="宋体" w:hAnsi="宋体" w:eastAsia="宋体" w:cs="宋体"/>
          <w:color w:val="auto"/>
          <w:kern w:val="0"/>
          <w:sz w:val="24"/>
          <w:szCs w:val="24"/>
          <w:highlight w:val="none"/>
          <w:lang w:val="en-US" w:eastAsia="zh-CN" w:bidi="ar-SA"/>
        </w:rPr>
        <w:t>申请人须提供参加本次招投标活动前，3年内没有骗取中标和严重违约及重大违法行为，在经营活动中没有重大违法记录（投标人须提供承诺函）。（格式及内容由投标人自拟并加盖公章）</w:t>
      </w:r>
    </w:p>
    <w:p w14:paraId="3DA01AFF">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6.7.</w:t>
      </w:r>
      <w:r>
        <w:rPr>
          <w:rFonts w:hint="eastAsia" w:ascii="宋体" w:hAnsi="宋体" w:eastAsia="宋体" w:cs="宋体"/>
          <w:color w:val="auto"/>
          <w:kern w:val="0"/>
          <w:sz w:val="24"/>
          <w:szCs w:val="24"/>
          <w:highlight w:val="none"/>
          <w:lang w:val="en-US" w:eastAsia="zh-CN" w:bidi="ar-SA"/>
        </w:rPr>
        <w:t>申请人须为未被①“信用中国”网站(www.creditchina.gov.cn)列入重大税收违法案件当事人名单（重大税收违法失信主体）、②未被“中国执行信息公开网”（http://zxgk.court.gov.cn/）列入失信被执行人名单、③未被“国家企业信用信息公示系统”网站（https://www.gsxt.gov.cn/index.html）列入严重违法失信名单。</w:t>
      </w:r>
    </w:p>
    <w:p w14:paraId="48BC0B59">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6.8.</w:t>
      </w:r>
      <w:r>
        <w:rPr>
          <w:rFonts w:hint="eastAsia" w:ascii="宋体" w:hAnsi="宋体" w:eastAsia="宋体" w:cs="宋体"/>
          <w:color w:val="auto"/>
          <w:kern w:val="0"/>
          <w:sz w:val="24"/>
          <w:szCs w:val="24"/>
          <w:highlight w:val="none"/>
          <w:lang w:val="en-US" w:eastAsia="zh-CN" w:bidi="ar-SA"/>
        </w:rPr>
        <w:t>投标人法定代表人或单位负责人为同一人或者存在控股、管理关系的不同单位，不得参加同一分包投标或者未划分分包的同一项目的投标。违反规定的，相关投标均无效（投标人须提供承诺函）。（格式及内容由投标人自拟并加盖公章）</w:t>
      </w:r>
    </w:p>
    <w:p w14:paraId="19CD1D1D">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6.9.</w:t>
      </w:r>
      <w:r>
        <w:rPr>
          <w:rFonts w:hint="eastAsia" w:ascii="宋体" w:hAnsi="宋体" w:eastAsia="宋体" w:cs="宋体"/>
          <w:color w:val="auto"/>
          <w:kern w:val="0"/>
          <w:sz w:val="24"/>
          <w:szCs w:val="24"/>
          <w:highlight w:val="none"/>
          <w:lang w:val="en-US" w:eastAsia="zh-CN" w:bidi="ar-SA"/>
        </w:rPr>
        <w:t>投标人能够直接和招标人签署合同</w:t>
      </w:r>
      <w:r>
        <w:rPr>
          <w:rFonts w:hint="eastAsia"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中标后不允许分包、转包（投标人须提供承诺函）。（格式及内容由投标人自拟并加盖公章）</w:t>
      </w:r>
    </w:p>
    <w:p w14:paraId="1550FC79">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6.10.</w:t>
      </w:r>
      <w:r>
        <w:rPr>
          <w:rFonts w:hint="eastAsia" w:ascii="宋体" w:hAnsi="宋体" w:eastAsia="宋体" w:cs="宋体"/>
          <w:color w:val="auto"/>
          <w:kern w:val="0"/>
          <w:sz w:val="24"/>
          <w:szCs w:val="24"/>
          <w:highlight w:val="none"/>
          <w:lang w:val="en-US" w:eastAsia="zh-CN" w:bidi="ar-SA"/>
        </w:rPr>
        <w:t>本项目实施资格后审，不接受联合体投标。</w:t>
      </w:r>
    </w:p>
    <w:p w14:paraId="60A40393">
      <w:pPr>
        <w:pStyle w:val="17"/>
        <w:widowControl w:val="0"/>
        <w:adjustRightInd w:val="0"/>
        <w:snapToGrid w:val="0"/>
        <w:spacing w:before="0" w:beforeAutospacing="0" w:after="0" w:afterAutospacing="0" w:line="360" w:lineRule="auto"/>
        <w:ind w:firstLine="482" w:firstLineChars="200"/>
        <w:rPr>
          <w:rFonts w:hint="eastAsia" w:cs="仿宋_GB2312"/>
          <w:color w:val="auto"/>
          <w:sz w:val="24"/>
          <w:szCs w:val="24"/>
        </w:rPr>
      </w:pPr>
      <w:r>
        <w:rPr>
          <w:rFonts w:hint="eastAsia" w:cs="仿宋_GB2312"/>
          <w:b/>
          <w:color w:val="auto"/>
          <w:sz w:val="24"/>
          <w:szCs w:val="24"/>
        </w:rPr>
        <w:t>7、资质要求：</w:t>
      </w:r>
      <w:r>
        <w:rPr>
          <w:rFonts w:hint="eastAsia" w:cs="仿宋_GB2312"/>
          <w:color w:val="auto"/>
          <w:sz w:val="24"/>
          <w:szCs w:val="24"/>
        </w:rPr>
        <w:t>投标人提供的资质文件：营业执照</w:t>
      </w:r>
      <w:r>
        <w:rPr>
          <w:rFonts w:hint="eastAsia" w:cs="仿宋_GB2312"/>
          <w:color w:val="auto"/>
          <w:sz w:val="24"/>
          <w:szCs w:val="24"/>
          <w:lang w:eastAsia="zh-CN"/>
        </w:rPr>
        <w:t>（</w:t>
      </w:r>
      <w:r>
        <w:rPr>
          <w:rFonts w:hint="eastAsia" w:cs="仿宋_GB2312"/>
          <w:color w:val="auto"/>
          <w:sz w:val="24"/>
          <w:szCs w:val="24"/>
        </w:rPr>
        <w:t>三证合一</w:t>
      </w:r>
      <w:r>
        <w:rPr>
          <w:rFonts w:hint="eastAsia" w:cs="仿宋_GB2312"/>
          <w:color w:val="auto"/>
          <w:sz w:val="24"/>
          <w:szCs w:val="24"/>
          <w:lang w:eastAsia="zh-CN"/>
        </w:rPr>
        <w:t>）</w:t>
      </w:r>
      <w:r>
        <w:rPr>
          <w:rFonts w:hint="eastAsia" w:cs="仿宋_GB2312"/>
          <w:color w:val="auto"/>
          <w:sz w:val="24"/>
          <w:szCs w:val="24"/>
        </w:rPr>
        <w:t>、</w:t>
      </w:r>
      <w:r>
        <w:rPr>
          <w:rFonts w:cs="仿宋_GB2312"/>
          <w:color w:val="auto"/>
          <w:sz w:val="24"/>
          <w:szCs w:val="24"/>
        </w:rPr>
        <w:t>202</w:t>
      </w:r>
      <w:r>
        <w:rPr>
          <w:rFonts w:hint="eastAsia" w:cs="仿宋_GB2312"/>
          <w:color w:val="auto"/>
          <w:sz w:val="24"/>
          <w:szCs w:val="24"/>
          <w:lang w:val="en-US" w:eastAsia="zh-CN"/>
        </w:rPr>
        <w:t>2</w:t>
      </w:r>
      <w:r>
        <w:rPr>
          <w:rFonts w:hint="eastAsia" w:cs="仿宋_GB2312"/>
          <w:color w:val="auto"/>
          <w:sz w:val="24"/>
          <w:szCs w:val="24"/>
        </w:rPr>
        <w:t>年1月1日以来（以合同签订日期为准），投标人具有</w:t>
      </w:r>
      <w:r>
        <w:rPr>
          <w:rFonts w:hint="eastAsia" w:cs="仿宋_GB2312"/>
          <w:color w:val="auto"/>
          <w:sz w:val="24"/>
          <w:szCs w:val="24"/>
          <w:lang w:val="en-US" w:eastAsia="zh-CN"/>
        </w:rPr>
        <w:t>山西省</w:t>
      </w:r>
      <w:r>
        <w:rPr>
          <w:rFonts w:hint="eastAsia" w:cs="仿宋_GB2312"/>
          <w:color w:val="auto"/>
          <w:sz w:val="24"/>
          <w:szCs w:val="24"/>
        </w:rPr>
        <w:t>单项合同金额</w:t>
      </w:r>
      <w:r>
        <w:rPr>
          <w:rFonts w:hint="eastAsia" w:cs="仿宋_GB2312"/>
          <w:color w:val="auto"/>
          <w:sz w:val="24"/>
          <w:szCs w:val="24"/>
          <w:lang w:val="en-US" w:eastAsia="zh-CN"/>
        </w:rPr>
        <w:t>2</w:t>
      </w:r>
      <w:r>
        <w:rPr>
          <w:rFonts w:hint="eastAsia" w:cs="仿宋_GB2312"/>
          <w:color w:val="auto"/>
          <w:sz w:val="24"/>
          <w:szCs w:val="24"/>
        </w:rPr>
        <w:t>00万元及以上的类似供货业绩。</w:t>
      </w:r>
    </w:p>
    <w:p w14:paraId="3CBFD199">
      <w:pPr>
        <w:pStyle w:val="17"/>
        <w:widowControl w:val="0"/>
        <w:adjustRightInd w:val="0"/>
        <w:snapToGrid w:val="0"/>
        <w:spacing w:before="0" w:beforeAutospacing="0" w:after="0" w:afterAutospacing="0" w:line="360" w:lineRule="auto"/>
        <w:ind w:firstLine="482" w:firstLineChars="200"/>
        <w:rPr>
          <w:rFonts w:cs="仿宋_GB2312"/>
          <w:color w:val="auto"/>
          <w:sz w:val="24"/>
          <w:szCs w:val="24"/>
        </w:rPr>
      </w:pPr>
      <w:r>
        <w:rPr>
          <w:rFonts w:hint="eastAsia" w:cs="仿宋_GB2312"/>
          <w:b/>
          <w:color w:val="auto"/>
          <w:sz w:val="24"/>
          <w:szCs w:val="24"/>
        </w:rPr>
        <w:t>8、投标保证金：</w:t>
      </w:r>
      <w:r>
        <w:rPr>
          <w:rFonts w:hint="eastAsia" w:cs="仿宋_GB2312"/>
          <w:color w:val="auto"/>
          <w:sz w:val="24"/>
          <w:szCs w:val="24"/>
        </w:rPr>
        <w:t>投标人在递交投标文件时需向招标人交纳</w:t>
      </w:r>
      <w:r>
        <w:rPr>
          <w:rFonts w:hint="eastAsia" w:cs="仿宋_GB2312"/>
          <w:color w:val="auto"/>
          <w:sz w:val="24"/>
          <w:szCs w:val="24"/>
          <w:lang w:val="en-US" w:eastAsia="zh-CN"/>
        </w:rPr>
        <w:t>3</w:t>
      </w:r>
      <w:r>
        <w:rPr>
          <w:rFonts w:hint="eastAsia" w:cs="仿宋_GB2312"/>
          <w:color w:val="auto"/>
          <w:sz w:val="24"/>
          <w:szCs w:val="24"/>
        </w:rPr>
        <w:t>0000元（人民币）投标保证金。投标保证金可以是：电汇、网银。</w:t>
      </w:r>
      <w:r>
        <w:rPr>
          <w:rFonts w:cs="仿宋_GB2312"/>
          <w:color w:val="auto"/>
          <w:sz w:val="24"/>
          <w:szCs w:val="24"/>
        </w:rPr>
        <w:t>未提交投标保证金的投标，招标人有权将其视为无效投标。招标人宣布中标结果后，投标保证金将在15个工作日内无息退还。</w:t>
      </w:r>
    </w:p>
    <w:p w14:paraId="38D04D73">
      <w:pPr>
        <w:pStyle w:val="50"/>
        <w:widowControl/>
        <w:tabs>
          <w:tab w:val="left" w:pos="1060"/>
        </w:tabs>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保证金收款账户信息：</w:t>
      </w:r>
    </w:p>
    <w:p w14:paraId="04427061">
      <w:pPr>
        <w:pStyle w:val="50"/>
        <w:widowControl/>
        <w:tabs>
          <w:tab w:val="left" w:pos="1060"/>
        </w:tabs>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户名：</w:t>
      </w:r>
      <w:r>
        <w:rPr>
          <w:rFonts w:ascii="宋体" w:hAnsi="宋体" w:eastAsia="宋体" w:cs="宋体"/>
          <w:color w:val="auto"/>
          <w:kern w:val="0"/>
          <w:sz w:val="24"/>
          <w:szCs w:val="24"/>
        </w:rPr>
        <w:t>山西煤机装备制造有限责任公司</w:t>
      </w:r>
    </w:p>
    <w:p w14:paraId="789CDB19">
      <w:pPr>
        <w:pStyle w:val="50"/>
        <w:widowControl/>
        <w:tabs>
          <w:tab w:val="left" w:pos="1060"/>
        </w:tabs>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开户行：华夏银行股份有限公司太原经济技术开发区支行</w:t>
      </w:r>
    </w:p>
    <w:p w14:paraId="1BD2F554">
      <w:pPr>
        <w:pStyle w:val="50"/>
        <w:widowControl/>
        <w:tabs>
          <w:tab w:val="left" w:pos="1060"/>
        </w:tabs>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账号：11769000000127363</w:t>
      </w:r>
    </w:p>
    <w:p w14:paraId="1D087EC5">
      <w:pPr>
        <w:pStyle w:val="17"/>
        <w:widowControl w:val="0"/>
        <w:adjustRightInd w:val="0"/>
        <w:snapToGrid w:val="0"/>
        <w:spacing w:before="0" w:beforeAutospacing="0" w:after="0" w:afterAutospacing="0" w:line="360" w:lineRule="auto"/>
        <w:ind w:firstLine="479" w:firstLineChars="199"/>
        <w:rPr>
          <w:rFonts w:hint="eastAsia" w:cs="仿宋_GB2312"/>
          <w:color w:val="auto"/>
          <w:sz w:val="24"/>
          <w:szCs w:val="24"/>
          <w:lang w:eastAsia="zh-TW"/>
        </w:rPr>
      </w:pPr>
      <w:r>
        <w:rPr>
          <w:rFonts w:hint="eastAsia" w:cs="仿宋_GB2312"/>
          <w:b/>
          <w:color w:val="auto"/>
          <w:sz w:val="24"/>
          <w:szCs w:val="24"/>
          <w:lang w:eastAsia="zh-TW"/>
        </w:rPr>
        <w:t>9、谈判文件获得：</w:t>
      </w:r>
      <w:r>
        <w:rPr>
          <w:rFonts w:hint="eastAsia" w:cs="仿宋_GB2312"/>
          <w:color w:val="auto"/>
          <w:sz w:val="24"/>
          <w:szCs w:val="24"/>
          <w:lang w:eastAsia="zh-TW"/>
        </w:rPr>
        <w:t>登录“http://www.sxmj.com/”或微信搜索公众号“山西煤机”在线下载采购文件。</w:t>
      </w:r>
    </w:p>
    <w:p w14:paraId="45E0B83A">
      <w:pPr>
        <w:pStyle w:val="17"/>
        <w:widowControl w:val="0"/>
        <w:adjustRightInd w:val="0"/>
        <w:snapToGrid w:val="0"/>
        <w:spacing w:before="0" w:beforeAutospacing="0" w:after="0" w:afterAutospacing="0" w:line="360" w:lineRule="auto"/>
        <w:ind w:firstLine="482" w:firstLineChars="200"/>
        <w:rPr>
          <w:rFonts w:hint="default" w:eastAsia="宋体" w:cs="仿宋_GB2312"/>
          <w:color w:val="auto"/>
          <w:sz w:val="24"/>
          <w:szCs w:val="24"/>
          <w:lang w:val="en-US" w:eastAsia="zh-CN"/>
        </w:rPr>
      </w:pPr>
      <w:r>
        <w:rPr>
          <w:rFonts w:hint="eastAsia" w:cs="仿宋_GB2312"/>
          <w:b/>
          <w:color w:val="auto"/>
          <w:sz w:val="24"/>
        </w:rPr>
        <w:t>10、谈判文件递交地点:</w:t>
      </w:r>
      <w:r>
        <w:rPr>
          <w:rFonts w:hint="eastAsia" w:cs="仿宋_GB2312"/>
          <w:color w:val="auto"/>
          <w:sz w:val="24"/>
        </w:rPr>
        <w:t>山西省太原市小店区北营南路46号山西煤矿机械制造股份有限公司</w:t>
      </w:r>
      <w:r>
        <w:rPr>
          <w:rFonts w:hint="eastAsia" w:cs="仿宋_GB2312"/>
          <w:color w:val="auto"/>
          <w:sz w:val="24"/>
          <w:lang w:val="en-US" w:eastAsia="zh-CN"/>
        </w:rPr>
        <w:t>办公室</w:t>
      </w:r>
    </w:p>
    <w:p w14:paraId="3479A5BE">
      <w:pPr>
        <w:pStyle w:val="17"/>
        <w:widowControl w:val="0"/>
        <w:adjustRightInd w:val="0"/>
        <w:snapToGrid w:val="0"/>
        <w:spacing w:before="0" w:beforeAutospacing="0" w:after="0" w:afterAutospacing="0" w:line="360" w:lineRule="auto"/>
        <w:ind w:firstLine="482" w:firstLineChars="200"/>
        <w:rPr>
          <w:rFonts w:hint="eastAsia" w:cs="仿宋_GB2312"/>
          <w:color w:val="auto"/>
          <w:sz w:val="24"/>
        </w:rPr>
      </w:pPr>
      <w:r>
        <w:rPr>
          <w:rFonts w:hint="eastAsia" w:cs="仿宋_GB2312"/>
          <w:b/>
          <w:color w:val="auto"/>
          <w:sz w:val="24"/>
        </w:rPr>
        <w:t>11、谈判文件递交截止时间</w:t>
      </w:r>
      <w:r>
        <w:rPr>
          <w:rFonts w:hint="eastAsia" w:cs="仿宋_GB2312"/>
          <w:b w:val="0"/>
          <w:bCs/>
          <w:color w:val="auto"/>
          <w:sz w:val="24"/>
          <w:u w:val="single"/>
          <w:lang w:val="en-US" w:eastAsia="zh-CN"/>
        </w:rPr>
        <w:t>2024</w:t>
      </w:r>
      <w:r>
        <w:rPr>
          <w:rFonts w:hint="eastAsia" w:cs="仿宋_GB2312"/>
          <w:b w:val="0"/>
          <w:bCs/>
          <w:color w:val="auto"/>
          <w:sz w:val="24"/>
        </w:rPr>
        <w:t>年</w:t>
      </w:r>
      <w:r>
        <w:rPr>
          <w:rFonts w:hint="eastAsia" w:cs="仿宋_GB2312"/>
          <w:b w:val="0"/>
          <w:bCs/>
          <w:color w:val="auto"/>
          <w:sz w:val="24"/>
          <w:u w:val="single"/>
          <w:lang w:val="en-US" w:eastAsia="zh-CN"/>
        </w:rPr>
        <w:t>7</w:t>
      </w:r>
      <w:r>
        <w:rPr>
          <w:rFonts w:hint="eastAsia" w:cs="仿宋_GB2312"/>
          <w:b w:val="0"/>
          <w:bCs/>
          <w:color w:val="auto"/>
          <w:sz w:val="24"/>
        </w:rPr>
        <w:t>月</w:t>
      </w:r>
      <w:r>
        <w:rPr>
          <w:rFonts w:hint="eastAsia" w:cs="仿宋_GB2312"/>
          <w:b w:val="0"/>
          <w:bCs/>
          <w:color w:val="auto"/>
          <w:sz w:val="24"/>
          <w:lang w:val="en-US" w:eastAsia="zh-CN"/>
        </w:rPr>
        <w:t>_</w:t>
      </w:r>
      <w:r>
        <w:rPr>
          <w:rFonts w:hint="eastAsia" w:cs="仿宋_GB2312"/>
          <w:b w:val="0"/>
          <w:bCs/>
          <w:color w:val="auto"/>
          <w:sz w:val="24"/>
          <w:u w:val="single"/>
          <w:lang w:val="en-US" w:eastAsia="zh-CN"/>
        </w:rPr>
        <w:t>4</w:t>
      </w:r>
      <w:r>
        <w:rPr>
          <w:rFonts w:hint="eastAsia" w:cs="仿宋_GB2312"/>
          <w:b w:val="0"/>
          <w:bCs/>
          <w:color w:val="auto"/>
          <w:sz w:val="24"/>
        </w:rPr>
        <w:t>日</w:t>
      </w:r>
      <w:r>
        <w:rPr>
          <w:rFonts w:hint="eastAsia" w:cs="仿宋_GB2312"/>
          <w:color w:val="auto"/>
          <w:sz w:val="24"/>
          <w:u w:val="single"/>
          <w:lang w:val="en-US" w:eastAsia="zh-CN"/>
        </w:rPr>
        <w:t>17:00</w:t>
      </w:r>
      <w:r>
        <w:rPr>
          <w:rFonts w:hint="eastAsia" w:cs="仿宋_GB2312"/>
          <w:color w:val="auto"/>
          <w:sz w:val="24"/>
        </w:rPr>
        <w:t>。截止时间后递交的谈判文件将被拒绝。</w:t>
      </w:r>
    </w:p>
    <w:p w14:paraId="02F04BE3">
      <w:pPr>
        <w:pStyle w:val="17"/>
        <w:widowControl w:val="0"/>
        <w:adjustRightInd w:val="0"/>
        <w:snapToGrid w:val="0"/>
        <w:spacing w:before="0" w:beforeAutospacing="0" w:after="0" w:afterAutospacing="0" w:line="360" w:lineRule="auto"/>
        <w:ind w:firstLine="482" w:firstLineChars="200"/>
        <w:rPr>
          <w:rFonts w:hint="default" w:eastAsia="宋体" w:cs="仿宋_GB2312"/>
          <w:color w:val="auto"/>
          <w:sz w:val="24"/>
          <w:lang w:val="en-US" w:eastAsia="zh-CN"/>
        </w:rPr>
      </w:pPr>
      <w:r>
        <w:rPr>
          <w:rFonts w:hint="eastAsia" w:cs="仿宋_GB2312"/>
          <w:b/>
          <w:color w:val="auto"/>
          <w:sz w:val="24"/>
        </w:rPr>
        <w:t>12、谈判时间</w:t>
      </w:r>
      <w:r>
        <w:rPr>
          <w:rFonts w:hint="eastAsia" w:cs="仿宋_GB2312"/>
          <w:b/>
          <w:color w:val="auto"/>
          <w:sz w:val="24"/>
          <w:lang w:val="en-US" w:eastAsia="zh-CN"/>
        </w:rPr>
        <w:t>与地点</w:t>
      </w:r>
      <w:r>
        <w:rPr>
          <w:rFonts w:hint="eastAsia" w:cs="仿宋_GB2312"/>
          <w:b/>
          <w:color w:val="auto"/>
          <w:sz w:val="24"/>
        </w:rPr>
        <w:t>：</w:t>
      </w:r>
      <w:r>
        <w:rPr>
          <w:rFonts w:hint="eastAsia" w:cs="仿宋_GB2312"/>
          <w:color w:val="auto"/>
          <w:sz w:val="24"/>
          <w:lang w:val="en-US" w:eastAsia="zh-CN"/>
        </w:rPr>
        <w:t>2024</w:t>
      </w:r>
      <w:r>
        <w:rPr>
          <w:rFonts w:hint="eastAsia" w:cs="仿宋_GB2312"/>
          <w:color w:val="auto"/>
          <w:sz w:val="24"/>
        </w:rPr>
        <w:t>年</w:t>
      </w:r>
      <w:r>
        <w:rPr>
          <w:rFonts w:hint="eastAsia" w:cs="仿宋_GB2312"/>
          <w:color w:val="auto"/>
          <w:sz w:val="24"/>
          <w:lang w:val="en-US" w:eastAsia="zh-CN"/>
        </w:rPr>
        <w:t>7</w:t>
      </w:r>
      <w:r>
        <w:rPr>
          <w:rFonts w:hint="eastAsia" w:cs="仿宋_GB2312"/>
          <w:color w:val="auto"/>
          <w:sz w:val="24"/>
        </w:rPr>
        <w:t>月</w:t>
      </w:r>
      <w:r>
        <w:rPr>
          <w:rFonts w:hint="eastAsia" w:cs="仿宋_GB2312"/>
          <w:color w:val="auto"/>
          <w:sz w:val="24"/>
          <w:lang w:val="en-US" w:eastAsia="zh-CN"/>
        </w:rPr>
        <w:t>5</w:t>
      </w:r>
      <w:r>
        <w:rPr>
          <w:rFonts w:hint="eastAsia" w:cs="仿宋_GB2312"/>
          <w:color w:val="auto"/>
          <w:sz w:val="24"/>
        </w:rPr>
        <w:t>日</w:t>
      </w:r>
      <w:r>
        <w:rPr>
          <w:rFonts w:hint="eastAsia" w:cs="仿宋_GB2312"/>
          <w:color w:val="auto"/>
          <w:sz w:val="24"/>
          <w:lang w:val="en-US" w:eastAsia="zh-CN"/>
        </w:rPr>
        <w:t>上午9:00，</w:t>
      </w:r>
      <w:r>
        <w:rPr>
          <w:rFonts w:hint="eastAsia" w:cs="仿宋_GB2312"/>
          <w:color w:val="auto"/>
          <w:sz w:val="24"/>
        </w:rPr>
        <w:t>山西煤机制造公司</w:t>
      </w:r>
      <w:r>
        <w:rPr>
          <w:rFonts w:hint="eastAsia" w:cs="仿宋_GB2312"/>
          <w:color w:val="auto"/>
          <w:sz w:val="24"/>
          <w:lang w:val="en-US" w:eastAsia="zh-CN"/>
        </w:rPr>
        <w:t>二楼会议室。</w:t>
      </w:r>
    </w:p>
    <w:p w14:paraId="07BC904C">
      <w:pPr>
        <w:pStyle w:val="17"/>
        <w:widowControl w:val="0"/>
        <w:adjustRightInd w:val="0"/>
        <w:snapToGrid w:val="0"/>
        <w:spacing w:before="0" w:beforeAutospacing="0" w:after="0" w:afterAutospacing="0" w:line="360" w:lineRule="auto"/>
        <w:ind w:firstLine="482" w:firstLineChars="200"/>
        <w:rPr>
          <w:rFonts w:hint="eastAsia" w:cs="仿宋_GB2312"/>
          <w:color w:val="auto"/>
          <w:sz w:val="24"/>
        </w:rPr>
      </w:pPr>
      <w:r>
        <w:rPr>
          <w:rFonts w:hint="eastAsia" w:cs="仿宋_GB2312"/>
          <w:b/>
          <w:color w:val="auto"/>
          <w:sz w:val="24"/>
        </w:rPr>
        <w:t>13、谈判方式：</w:t>
      </w:r>
      <w:r>
        <w:rPr>
          <w:rFonts w:hint="eastAsia" w:cs="仿宋_GB2312"/>
          <w:b/>
          <w:color w:val="auto"/>
          <w:sz w:val="24"/>
          <w:lang w:val="en-US" w:eastAsia="zh-CN"/>
        </w:rPr>
        <w:t>竞争性磋商谈判</w:t>
      </w:r>
      <w:r>
        <w:rPr>
          <w:rFonts w:hint="eastAsia" w:cs="仿宋_GB2312"/>
          <w:color w:val="auto"/>
          <w:sz w:val="24"/>
          <w:szCs w:val="24"/>
        </w:rPr>
        <w:t>。</w:t>
      </w:r>
    </w:p>
    <w:p w14:paraId="66B77DB5">
      <w:pPr>
        <w:spacing w:line="360" w:lineRule="auto"/>
        <w:ind w:firstLine="482" w:firstLineChars="200"/>
        <w:jc w:val="left"/>
        <w:rPr>
          <w:rFonts w:ascii="宋体" w:cs="宋体"/>
          <w:b/>
          <w:i/>
          <w:color w:val="auto"/>
          <w:kern w:val="0"/>
          <w:sz w:val="24"/>
        </w:rPr>
      </w:pPr>
      <w:r>
        <w:rPr>
          <w:rFonts w:hint="eastAsia" w:ascii="宋体" w:hAnsi="宋体" w:cs="宋体"/>
          <w:b/>
          <w:color w:val="auto"/>
          <w:kern w:val="0"/>
          <w:sz w:val="24"/>
        </w:rPr>
        <w:t>14、服务要求</w:t>
      </w:r>
    </w:p>
    <w:p w14:paraId="49804EDC">
      <w:pPr>
        <w:spacing w:line="360" w:lineRule="auto"/>
        <w:ind w:firstLine="480" w:firstLineChars="200"/>
        <w:rPr>
          <w:rFonts w:ascii="宋体" w:cs="宋体"/>
          <w:bCs/>
          <w:iCs/>
          <w:color w:val="auto"/>
          <w:kern w:val="0"/>
          <w:sz w:val="24"/>
        </w:rPr>
      </w:pPr>
      <w:r>
        <w:rPr>
          <w:rFonts w:hint="eastAsia" w:ascii="宋体" w:hAnsi="宋体" w:cs="宋体"/>
          <w:bCs/>
          <w:iCs/>
          <w:color w:val="auto"/>
          <w:kern w:val="0"/>
          <w:sz w:val="24"/>
        </w:rPr>
        <w:t>14.1售后服务：在发生使用方法不清楚或遇到使用问题时能及时提供回复。</w:t>
      </w:r>
    </w:p>
    <w:p w14:paraId="5892C9C8">
      <w:pPr>
        <w:spacing w:line="360" w:lineRule="auto"/>
        <w:ind w:firstLine="480" w:firstLineChars="200"/>
        <w:rPr>
          <w:rFonts w:ascii="宋体" w:cs="宋体"/>
          <w:bCs/>
          <w:iCs/>
          <w:color w:val="auto"/>
          <w:kern w:val="0"/>
          <w:sz w:val="24"/>
        </w:rPr>
      </w:pPr>
      <w:r>
        <w:rPr>
          <w:rFonts w:hint="eastAsia" w:ascii="宋体" w:hAnsi="宋体" w:cs="宋体"/>
          <w:bCs/>
          <w:iCs/>
          <w:color w:val="auto"/>
          <w:kern w:val="0"/>
          <w:sz w:val="24"/>
        </w:rPr>
        <w:t>14.2技术培训：对不少于</w:t>
      </w:r>
      <w:r>
        <w:rPr>
          <w:rFonts w:ascii="宋体" w:hAnsi="宋体" w:cs="宋体"/>
          <w:bCs/>
          <w:iCs/>
          <w:color w:val="auto"/>
          <w:kern w:val="0"/>
          <w:sz w:val="24"/>
        </w:rPr>
        <w:t>3</w:t>
      </w:r>
      <w:r>
        <w:rPr>
          <w:rFonts w:hint="eastAsia" w:ascii="宋体" w:hAnsi="宋体" w:cs="宋体"/>
          <w:bCs/>
          <w:iCs/>
          <w:color w:val="auto"/>
          <w:kern w:val="0"/>
          <w:sz w:val="24"/>
        </w:rPr>
        <w:t>名的使用人的培训，在采购人最终用户现场进行为期</w:t>
      </w:r>
      <w:r>
        <w:rPr>
          <w:rFonts w:ascii="宋体" w:hAnsi="宋体" w:cs="宋体"/>
          <w:bCs/>
          <w:iCs/>
          <w:color w:val="auto"/>
          <w:kern w:val="0"/>
          <w:sz w:val="24"/>
        </w:rPr>
        <w:t>3-5</w:t>
      </w:r>
      <w:r>
        <w:rPr>
          <w:rFonts w:hint="eastAsia" w:ascii="宋体" w:hAnsi="宋体" w:cs="宋体"/>
          <w:bCs/>
          <w:iCs/>
          <w:color w:val="auto"/>
          <w:kern w:val="0"/>
          <w:sz w:val="24"/>
        </w:rPr>
        <w:t>天的技术培训。</w:t>
      </w:r>
    </w:p>
    <w:p w14:paraId="455AE997">
      <w:pPr>
        <w:spacing w:line="360" w:lineRule="auto"/>
        <w:ind w:firstLine="480" w:firstLineChars="200"/>
        <w:rPr>
          <w:rFonts w:ascii="宋体" w:cs="宋体"/>
          <w:bCs/>
          <w:iCs/>
          <w:color w:val="auto"/>
          <w:kern w:val="0"/>
          <w:sz w:val="24"/>
        </w:rPr>
      </w:pPr>
      <w:r>
        <w:rPr>
          <w:rFonts w:hint="eastAsia" w:ascii="宋体" w:hAnsi="宋体" w:cs="宋体"/>
          <w:bCs/>
          <w:iCs/>
          <w:color w:val="auto"/>
          <w:kern w:val="0"/>
          <w:sz w:val="24"/>
        </w:rPr>
        <w:t>14.3质保期：</w:t>
      </w:r>
      <w:r>
        <w:rPr>
          <w:rFonts w:hint="eastAsia"/>
          <w:color w:val="auto"/>
          <w:kern w:val="0"/>
          <w:sz w:val="24"/>
        </w:rPr>
        <w:t>货物整体质量保证期为自安装调试验收合格后不少于</w:t>
      </w:r>
      <w:r>
        <w:rPr>
          <w:rFonts w:hint="eastAsia"/>
          <w:color w:val="auto"/>
          <w:kern w:val="0"/>
          <w:sz w:val="24"/>
          <w:lang w:val="en-US" w:eastAsia="zh-CN"/>
        </w:rPr>
        <w:t>6</w:t>
      </w:r>
      <w:r>
        <w:rPr>
          <w:rFonts w:hint="eastAsia"/>
          <w:color w:val="auto"/>
          <w:kern w:val="0"/>
          <w:sz w:val="24"/>
        </w:rPr>
        <w:t>年；</w:t>
      </w:r>
      <w:r>
        <w:rPr>
          <w:rFonts w:hint="eastAsia" w:ascii="宋体" w:hAnsi="宋体" w:cs="宋体"/>
          <w:bCs/>
          <w:iCs/>
          <w:color w:val="auto"/>
          <w:kern w:val="0"/>
          <w:sz w:val="24"/>
        </w:rPr>
        <w:t>质保期内，每年不少于</w:t>
      </w:r>
      <w:r>
        <w:rPr>
          <w:rFonts w:hint="eastAsia" w:ascii="宋体" w:hAnsi="宋体" w:cs="宋体"/>
          <w:bCs/>
          <w:iCs/>
          <w:color w:val="auto"/>
          <w:kern w:val="0"/>
          <w:sz w:val="24"/>
          <w:lang w:val="en-US" w:eastAsia="zh-CN"/>
        </w:rPr>
        <w:t>4</w:t>
      </w:r>
      <w:r>
        <w:rPr>
          <w:rFonts w:hint="eastAsia" w:ascii="宋体" w:hAnsi="宋体" w:cs="宋体"/>
          <w:bCs/>
          <w:iCs/>
          <w:color w:val="auto"/>
          <w:kern w:val="0"/>
          <w:sz w:val="24"/>
        </w:rPr>
        <w:t>次免费上门服务，凡属非使用不当出现的零部件损坏故障，供方将免费维修、更换。</w:t>
      </w:r>
    </w:p>
    <w:p w14:paraId="5F2611D1">
      <w:pPr>
        <w:spacing w:line="360" w:lineRule="auto"/>
        <w:ind w:firstLine="480" w:firstLineChars="200"/>
        <w:rPr>
          <w:rFonts w:ascii="宋体" w:cs="宋体"/>
          <w:bCs/>
          <w:iCs/>
          <w:color w:val="auto"/>
          <w:kern w:val="0"/>
          <w:sz w:val="24"/>
        </w:rPr>
      </w:pPr>
      <w:bookmarkStart w:id="0" w:name="_Hlk504156647"/>
      <w:r>
        <w:rPr>
          <w:rFonts w:hint="eastAsia" w:ascii="宋体" w:hAnsi="宋体" w:cs="宋体"/>
          <w:bCs/>
          <w:iCs/>
          <w:color w:val="auto"/>
          <w:kern w:val="0"/>
          <w:sz w:val="24"/>
        </w:rPr>
        <w:t>14.4质保期内，提供</w:t>
      </w:r>
      <w:r>
        <w:rPr>
          <w:rFonts w:ascii="宋体" w:hAnsi="宋体" w:cs="宋体"/>
          <w:bCs/>
          <w:iCs/>
          <w:color w:val="auto"/>
          <w:kern w:val="0"/>
          <w:sz w:val="24"/>
        </w:rPr>
        <w:t>7</w:t>
      </w:r>
      <w:r>
        <w:rPr>
          <w:rFonts w:hint="eastAsia" w:ascii="宋体" w:hAnsi="宋体" w:cs="宋体"/>
          <w:bCs/>
          <w:iCs/>
          <w:color w:val="auto"/>
          <w:kern w:val="0"/>
          <w:sz w:val="24"/>
        </w:rPr>
        <w:t>×</w:t>
      </w:r>
      <w:r>
        <w:rPr>
          <w:rFonts w:ascii="宋体" w:hAnsi="宋体" w:cs="宋体"/>
          <w:bCs/>
          <w:iCs/>
          <w:color w:val="auto"/>
          <w:kern w:val="0"/>
          <w:sz w:val="24"/>
        </w:rPr>
        <w:t>24</w:t>
      </w:r>
      <w:r>
        <w:rPr>
          <w:rFonts w:hint="eastAsia" w:ascii="宋体" w:hAnsi="宋体" w:cs="宋体"/>
          <w:bCs/>
          <w:iCs/>
          <w:color w:val="auto"/>
          <w:kern w:val="0"/>
          <w:sz w:val="24"/>
        </w:rPr>
        <w:t>小时服务。中标人应对用户的服务要求作出响应，一般问题应在</w:t>
      </w:r>
      <w:r>
        <w:rPr>
          <w:rFonts w:ascii="宋体" w:hAnsi="宋体" w:cs="宋体"/>
          <w:bCs/>
          <w:iCs/>
          <w:color w:val="auto"/>
          <w:kern w:val="0"/>
          <w:sz w:val="24"/>
        </w:rPr>
        <w:t>48</w:t>
      </w:r>
      <w:r>
        <w:rPr>
          <w:rFonts w:hint="eastAsia" w:ascii="宋体" w:hAnsi="宋体" w:cs="宋体"/>
          <w:bCs/>
          <w:iCs/>
          <w:color w:val="auto"/>
          <w:kern w:val="0"/>
          <w:sz w:val="24"/>
        </w:rPr>
        <w:t>小时内解决，重大问题或其它无法迅速解决的问题应在</w:t>
      </w:r>
      <w:r>
        <w:rPr>
          <w:rFonts w:ascii="宋体" w:hAnsi="宋体" w:cs="宋体"/>
          <w:bCs/>
          <w:iCs/>
          <w:color w:val="auto"/>
          <w:kern w:val="0"/>
          <w:sz w:val="24"/>
        </w:rPr>
        <w:t>1</w:t>
      </w:r>
      <w:r>
        <w:rPr>
          <w:rFonts w:hint="eastAsia" w:ascii="宋体" w:hAnsi="宋体" w:cs="宋体"/>
          <w:bCs/>
          <w:iCs/>
          <w:color w:val="auto"/>
          <w:kern w:val="0"/>
          <w:sz w:val="24"/>
        </w:rPr>
        <w:t>周内解决或提出明确解决方案，否则中标人除承担相应违约责任外，应赔偿给采购人造成的经济损失。</w:t>
      </w:r>
      <w:bookmarkEnd w:id="0"/>
    </w:p>
    <w:p w14:paraId="1F34800C">
      <w:pPr>
        <w:spacing w:line="360" w:lineRule="auto"/>
        <w:ind w:firstLine="480" w:firstLineChars="200"/>
        <w:rPr>
          <w:color w:val="auto"/>
        </w:rPr>
      </w:pPr>
      <w:r>
        <w:rPr>
          <w:rFonts w:hint="eastAsia" w:ascii="宋体" w:hAnsi="宋体" w:cs="宋体"/>
          <w:bCs/>
          <w:iCs/>
          <w:color w:val="auto"/>
          <w:kern w:val="0"/>
          <w:sz w:val="24"/>
        </w:rPr>
        <w:t>14.5对所供货物实行终生维修、维护。质保期外如货物出现质量问题，货物的维修维护只收取零部件成本费。质保期外的维修在</w:t>
      </w:r>
      <w:r>
        <w:rPr>
          <w:rFonts w:ascii="宋体" w:hAnsi="宋体" w:cs="宋体"/>
          <w:bCs/>
          <w:iCs/>
          <w:color w:val="auto"/>
          <w:kern w:val="0"/>
          <w:sz w:val="24"/>
        </w:rPr>
        <w:t>6</w:t>
      </w:r>
      <w:r>
        <w:rPr>
          <w:rFonts w:hint="eastAsia" w:ascii="宋体" w:hAnsi="宋体" w:cs="宋体"/>
          <w:bCs/>
          <w:iCs/>
          <w:color w:val="auto"/>
          <w:kern w:val="0"/>
          <w:sz w:val="24"/>
        </w:rPr>
        <w:t>小时内进行响应，需要时，能够提供必要的上门有偿检测。</w:t>
      </w:r>
    </w:p>
    <w:p w14:paraId="546C677D">
      <w:pPr>
        <w:adjustRightInd w:val="0"/>
        <w:spacing w:line="360" w:lineRule="auto"/>
        <w:ind w:firstLine="479" w:firstLineChars="199"/>
        <w:jc w:val="left"/>
        <w:textAlignment w:val="baseline"/>
        <w:rPr>
          <w:rFonts w:cs="仿宋_GB2312"/>
          <w:b/>
          <w:color w:val="auto"/>
          <w:sz w:val="24"/>
        </w:rPr>
      </w:pPr>
      <w:r>
        <w:rPr>
          <w:rFonts w:hint="eastAsia" w:cs="仿宋_GB2312"/>
          <w:b/>
          <w:color w:val="auto"/>
          <w:sz w:val="24"/>
        </w:rPr>
        <w:t>15、工程工期、竣工验收：</w:t>
      </w:r>
    </w:p>
    <w:p w14:paraId="7711E4B5">
      <w:pPr>
        <w:adjustRightInd w:val="0"/>
        <w:spacing w:line="360" w:lineRule="auto"/>
        <w:ind w:firstLine="477" w:firstLineChars="199"/>
        <w:jc w:val="left"/>
        <w:textAlignment w:val="baseline"/>
        <w:rPr>
          <w:rFonts w:cs="仿宋_GB2312"/>
          <w:color w:val="auto"/>
          <w:sz w:val="24"/>
        </w:rPr>
      </w:pPr>
      <w:r>
        <w:rPr>
          <w:rFonts w:hint="eastAsia" w:cs="仿宋_GB2312"/>
          <w:color w:val="auto"/>
          <w:sz w:val="24"/>
        </w:rPr>
        <w:t>15.1合同签订后</w:t>
      </w:r>
      <w:r>
        <w:rPr>
          <w:rFonts w:hint="eastAsia" w:cs="仿宋_GB2312"/>
          <w:color w:val="auto"/>
          <w:sz w:val="24"/>
          <w:lang w:val="en-US" w:eastAsia="zh-CN"/>
        </w:rPr>
        <w:t>40</w:t>
      </w:r>
      <w:r>
        <w:rPr>
          <w:rFonts w:hint="eastAsia" w:cs="仿宋_GB2312"/>
          <w:color w:val="auto"/>
          <w:sz w:val="24"/>
        </w:rPr>
        <w:t>个自然日。</w:t>
      </w:r>
    </w:p>
    <w:p w14:paraId="19C0F2DF">
      <w:pPr>
        <w:adjustRightInd w:val="0"/>
        <w:spacing w:line="360" w:lineRule="auto"/>
        <w:ind w:firstLine="477" w:firstLineChars="199"/>
        <w:jc w:val="left"/>
        <w:textAlignment w:val="baseline"/>
        <w:rPr>
          <w:rFonts w:hint="eastAsia" w:cs="仿宋_GB2312"/>
          <w:color w:val="auto"/>
          <w:sz w:val="24"/>
        </w:rPr>
      </w:pPr>
      <w:r>
        <w:rPr>
          <w:rFonts w:hint="eastAsia" w:cs="仿宋_GB2312"/>
          <w:color w:val="auto"/>
          <w:sz w:val="24"/>
        </w:rPr>
        <w:t>15.2工程验收按照严格按照国家相关规范和行业标准要求进行。</w:t>
      </w:r>
    </w:p>
    <w:p w14:paraId="6CEF2FC7">
      <w:pPr>
        <w:adjustRightInd w:val="0"/>
        <w:spacing w:line="360" w:lineRule="auto"/>
        <w:ind w:firstLine="479" w:firstLineChars="199"/>
        <w:jc w:val="left"/>
        <w:textAlignment w:val="baseline"/>
        <w:rPr>
          <w:rFonts w:cs="仿宋_GB2312"/>
          <w:color w:val="auto"/>
          <w:sz w:val="24"/>
        </w:rPr>
      </w:pPr>
      <w:r>
        <w:rPr>
          <w:rFonts w:hint="eastAsia" w:cs="仿宋_GB2312"/>
          <w:b/>
          <w:color w:val="auto"/>
          <w:sz w:val="24"/>
        </w:rPr>
        <w:t>16、付款方式：</w:t>
      </w:r>
      <w:r>
        <w:rPr>
          <w:rFonts w:hint="eastAsia" w:cs="仿宋_GB2312"/>
          <w:color w:val="auto"/>
          <w:sz w:val="24"/>
        </w:rPr>
        <w:t>合同签订家具到场后付合同价的30%，安装完工验收合格后付至合同价的6</w:t>
      </w:r>
      <w:r>
        <w:rPr>
          <w:rFonts w:hint="eastAsia" w:cs="仿宋_GB2312"/>
          <w:color w:val="auto"/>
          <w:sz w:val="24"/>
          <w:lang w:val="en-US" w:eastAsia="zh-CN"/>
        </w:rPr>
        <w:t>5</w:t>
      </w:r>
      <w:r>
        <w:rPr>
          <w:rFonts w:hint="eastAsia" w:cs="仿宋_GB2312"/>
          <w:color w:val="auto"/>
          <w:sz w:val="24"/>
        </w:rPr>
        <w:t>%，开具全额13%增值税专用发票付至合同价款的</w:t>
      </w:r>
      <w:r>
        <w:rPr>
          <w:rFonts w:cs="仿宋_GB2312"/>
          <w:color w:val="auto"/>
          <w:sz w:val="24"/>
        </w:rPr>
        <w:t>9</w:t>
      </w:r>
      <w:r>
        <w:rPr>
          <w:rFonts w:hint="eastAsia" w:cs="仿宋_GB2312"/>
          <w:color w:val="auto"/>
          <w:sz w:val="24"/>
          <w:lang w:val="en-US" w:eastAsia="zh-CN"/>
        </w:rPr>
        <w:t>5</w:t>
      </w:r>
      <w:r>
        <w:rPr>
          <w:rFonts w:hint="eastAsia" w:cs="仿宋_GB2312"/>
          <w:color w:val="auto"/>
          <w:sz w:val="24"/>
        </w:rPr>
        <w:t>%，剩余</w:t>
      </w:r>
      <w:r>
        <w:rPr>
          <w:rFonts w:hint="eastAsia" w:cs="仿宋_GB2312"/>
          <w:color w:val="auto"/>
          <w:sz w:val="24"/>
          <w:lang w:val="en-US" w:eastAsia="zh-CN"/>
        </w:rPr>
        <w:t>5</w:t>
      </w:r>
      <w:r>
        <w:rPr>
          <w:rFonts w:hint="eastAsia" w:cs="仿宋_GB2312"/>
          <w:color w:val="auto"/>
          <w:sz w:val="24"/>
        </w:rPr>
        <w:t>%作为质保金，质保期一年后无质量问题一次性无息付清质保金。质保期内发现质量问题，出卖人负责免费更换或维修，造成买受人生产安全损失的，出卖人应予以赔偿。</w:t>
      </w:r>
    </w:p>
    <w:p w14:paraId="53399938">
      <w:pPr>
        <w:pStyle w:val="17"/>
        <w:widowControl w:val="0"/>
        <w:adjustRightInd w:val="0"/>
        <w:snapToGrid w:val="0"/>
        <w:spacing w:before="0" w:beforeAutospacing="0" w:after="0" w:afterAutospacing="0" w:line="360" w:lineRule="auto"/>
        <w:ind w:firstLine="482" w:firstLineChars="200"/>
        <w:rPr>
          <w:rFonts w:hint="default" w:eastAsia="宋体" w:cs="仿宋_GB2312"/>
          <w:color w:val="auto"/>
          <w:sz w:val="24"/>
          <w:szCs w:val="24"/>
          <w:lang w:val="en-US" w:eastAsia="zh-CN"/>
        </w:rPr>
      </w:pPr>
      <w:r>
        <w:rPr>
          <w:rFonts w:hint="eastAsia" w:cs="仿宋_GB2312"/>
          <w:b/>
          <w:color w:val="auto"/>
          <w:sz w:val="24"/>
          <w:szCs w:val="24"/>
        </w:rPr>
        <w:t>17、联系人</w:t>
      </w:r>
      <w:r>
        <w:rPr>
          <w:rFonts w:hint="eastAsia" w:cs="仿宋_GB2312"/>
          <w:color w:val="auto"/>
          <w:sz w:val="24"/>
          <w:szCs w:val="24"/>
        </w:rPr>
        <w:t>：</w:t>
      </w:r>
      <w:r>
        <w:rPr>
          <w:rFonts w:hint="eastAsia" w:cs="仿宋_GB2312"/>
          <w:color w:val="auto"/>
          <w:sz w:val="24"/>
          <w:szCs w:val="24"/>
          <w:lang w:val="en-US" w:eastAsia="zh-CN"/>
        </w:rPr>
        <w:t>刘俊，联系电话：13593165230</w:t>
      </w:r>
    </w:p>
    <w:p w14:paraId="7117AA85">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62E4113E">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7CB6AABA">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12B03D70">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5DCF31EF">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7EC59F08">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DB90D76">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C3D038F">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387767AC">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7D353A1">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4057E5F7">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0EDE8E7E">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8A8C8A1">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C457E62">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4793B310">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4E107C20">
      <w:pPr>
        <w:pStyle w:val="17"/>
        <w:widowControl w:val="0"/>
        <w:adjustRightInd w:val="0"/>
        <w:snapToGrid w:val="0"/>
        <w:spacing w:before="0" w:beforeAutospacing="0" w:after="0" w:afterAutospacing="0" w:line="360" w:lineRule="auto"/>
        <w:ind w:firstLine="2168" w:firstLineChars="600"/>
        <w:rPr>
          <w:rFonts w:cs="仿宋_GB2312"/>
          <w:b/>
          <w:bCs/>
          <w:color w:val="auto"/>
          <w:sz w:val="36"/>
          <w:szCs w:val="36"/>
        </w:rPr>
      </w:pPr>
      <w:r>
        <w:rPr>
          <w:rFonts w:hint="eastAsia" w:cs="仿宋_GB2312"/>
          <w:b/>
          <w:bCs/>
          <w:color w:val="auto"/>
          <w:sz w:val="36"/>
          <w:szCs w:val="36"/>
          <w:lang w:eastAsia="zh-CN"/>
        </w:rPr>
        <w:t>办公楼</w:t>
      </w:r>
      <w:r>
        <w:rPr>
          <w:rFonts w:hint="eastAsia" w:cs="仿宋_GB2312"/>
          <w:b/>
          <w:bCs/>
          <w:color w:val="auto"/>
          <w:sz w:val="36"/>
          <w:szCs w:val="36"/>
        </w:rPr>
        <w:t>家具</w:t>
      </w:r>
      <w:r>
        <w:rPr>
          <w:rFonts w:hint="eastAsia" w:cs="仿宋_GB2312"/>
          <w:b/>
          <w:bCs/>
          <w:color w:val="auto"/>
          <w:sz w:val="36"/>
          <w:szCs w:val="36"/>
          <w:lang w:val="en-US" w:eastAsia="zh-CN"/>
        </w:rPr>
        <w:t>采购</w:t>
      </w:r>
      <w:r>
        <w:rPr>
          <w:rFonts w:hint="eastAsia" w:cs="仿宋_GB2312"/>
          <w:b/>
          <w:bCs/>
          <w:color w:val="auto"/>
          <w:sz w:val="36"/>
          <w:szCs w:val="36"/>
        </w:rPr>
        <w:t>项目谈判采购文件</w:t>
      </w:r>
    </w:p>
    <w:p w14:paraId="323C6ABD">
      <w:pPr>
        <w:pStyle w:val="17"/>
        <w:widowControl w:val="0"/>
        <w:adjustRightInd w:val="0"/>
        <w:snapToGrid w:val="0"/>
        <w:spacing w:before="0" w:beforeAutospacing="0" w:after="0" w:afterAutospacing="0" w:line="360" w:lineRule="auto"/>
        <w:jc w:val="center"/>
        <w:rPr>
          <w:rFonts w:hint="eastAsia" w:cs="仿宋_GB2312"/>
          <w:b/>
          <w:bCs/>
          <w:color w:val="auto"/>
          <w:sz w:val="30"/>
          <w:szCs w:val="30"/>
        </w:rPr>
      </w:pPr>
      <w:r>
        <w:rPr>
          <w:rFonts w:hint="eastAsia" w:cs="仿宋_GB2312"/>
          <w:b/>
          <w:bCs/>
          <w:color w:val="auto"/>
          <w:sz w:val="28"/>
          <w:szCs w:val="28"/>
        </w:rPr>
        <w:t>第一部分 谈判须知</w:t>
      </w:r>
    </w:p>
    <w:p w14:paraId="6583AB31">
      <w:pPr>
        <w:pStyle w:val="17"/>
        <w:widowControl w:val="0"/>
        <w:adjustRightInd w:val="0"/>
        <w:snapToGrid w:val="0"/>
        <w:spacing w:before="0" w:beforeAutospacing="0" w:after="0" w:afterAutospacing="0" w:line="360" w:lineRule="auto"/>
        <w:ind w:firstLine="472" w:firstLineChars="196"/>
        <w:rPr>
          <w:rFonts w:hint="eastAsia" w:cs="仿宋_GB2312"/>
          <w:b/>
          <w:color w:val="auto"/>
          <w:sz w:val="24"/>
          <w:szCs w:val="24"/>
        </w:rPr>
      </w:pPr>
      <w:r>
        <w:rPr>
          <w:rFonts w:hint="eastAsia" w:cs="仿宋_GB2312"/>
          <w:b/>
          <w:bCs/>
          <w:color w:val="auto"/>
          <w:sz w:val="24"/>
          <w:szCs w:val="24"/>
        </w:rPr>
        <w:t>一、说 明</w:t>
      </w:r>
    </w:p>
    <w:p w14:paraId="5261DAE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谈判费用：投标人应自行承担所有与编写和提交谈判文件有关的费用，无论谈判的结果如何，采购人在任何情况下均无责任承担这些费用。</w:t>
      </w:r>
    </w:p>
    <w:p w14:paraId="0CF792ED">
      <w:pPr>
        <w:pStyle w:val="17"/>
        <w:widowControl w:val="0"/>
        <w:adjustRightInd w:val="0"/>
        <w:snapToGrid w:val="0"/>
        <w:spacing w:before="0" w:beforeAutospacing="0" w:after="0" w:afterAutospacing="0" w:line="360" w:lineRule="auto"/>
        <w:ind w:firstLine="482" w:firstLineChars="200"/>
        <w:rPr>
          <w:rFonts w:hint="eastAsia" w:cs="仿宋_GB2312"/>
          <w:b/>
          <w:color w:val="auto"/>
          <w:sz w:val="24"/>
          <w:szCs w:val="24"/>
        </w:rPr>
      </w:pPr>
      <w:r>
        <w:rPr>
          <w:rFonts w:hint="eastAsia" w:cs="仿宋_GB2312"/>
          <w:b/>
          <w:bCs/>
          <w:color w:val="auto"/>
          <w:sz w:val="24"/>
          <w:szCs w:val="24"/>
        </w:rPr>
        <w:t>二、谈判采购文件</w:t>
      </w:r>
    </w:p>
    <w:p w14:paraId="7C167C4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1、谈判采购文件的组成：</w:t>
      </w:r>
    </w:p>
    <w:p w14:paraId="254BE8E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（1）谈判邀请函；</w:t>
      </w:r>
    </w:p>
    <w:p w14:paraId="7EA3360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（2）谈判须知；</w:t>
      </w:r>
    </w:p>
    <w:p w14:paraId="662C37A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w:t>
      </w:r>
      <w:r>
        <w:rPr>
          <w:rFonts w:hint="eastAsia" w:cs="宋体"/>
          <w:color w:val="auto"/>
          <w:sz w:val="24"/>
          <w:szCs w:val="24"/>
        </w:rPr>
        <w:t>合同主要条款</w:t>
      </w:r>
      <w:r>
        <w:rPr>
          <w:rFonts w:hint="eastAsia" w:cs="宋体"/>
          <w:b/>
          <w:color w:val="auto"/>
          <w:sz w:val="24"/>
          <w:szCs w:val="24"/>
        </w:rPr>
        <w:t>；</w:t>
      </w:r>
    </w:p>
    <w:p w14:paraId="023B089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（4）技术要求；</w:t>
      </w:r>
    </w:p>
    <w:p w14:paraId="08211A5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（5）谈判文件格式。</w:t>
      </w:r>
    </w:p>
    <w:p w14:paraId="0274BA26">
      <w:pPr>
        <w:pStyle w:val="17"/>
        <w:widowControl w:val="0"/>
        <w:adjustRightInd w:val="0"/>
        <w:snapToGrid w:val="0"/>
        <w:spacing w:before="0" w:beforeAutospacing="0" w:after="0" w:afterAutospacing="0" w:line="360" w:lineRule="auto"/>
        <w:ind w:firstLine="482" w:firstLineChars="200"/>
        <w:rPr>
          <w:rFonts w:hint="eastAsia" w:cs="仿宋_GB2312"/>
          <w:b/>
          <w:color w:val="auto"/>
          <w:sz w:val="24"/>
          <w:szCs w:val="24"/>
        </w:rPr>
      </w:pPr>
      <w:r>
        <w:rPr>
          <w:rFonts w:hint="eastAsia" w:cs="仿宋_GB2312"/>
          <w:b/>
          <w:bCs/>
          <w:color w:val="auto"/>
          <w:sz w:val="24"/>
          <w:szCs w:val="24"/>
        </w:rPr>
        <w:t>三、谈判文件的编写</w:t>
      </w:r>
    </w:p>
    <w:p w14:paraId="6C96A24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1、谈判文件的编写</w:t>
      </w:r>
    </w:p>
    <w:p w14:paraId="4BD030B4">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应仔细阅读谈判文件，了解谈判文件的要求。在完全了解谈判物资的技术要求以及商务条件后，认真编制谈判文件。投标人列席人员必须做到商务、技术兼顾，如果对其标的物技术方面做不到全面解答的，严格要求本单位专业技术人员一同出席，便于答疑和澄清,否则使</w:t>
      </w:r>
      <w:r>
        <w:rPr>
          <w:rFonts w:cs="仿宋_GB2312"/>
          <w:color w:val="auto"/>
          <w:sz w:val="24"/>
          <w:szCs w:val="24"/>
        </w:rPr>
        <w:t>其</w:t>
      </w:r>
      <w:r>
        <w:rPr>
          <w:rFonts w:hint="eastAsia" w:cs="仿宋_GB2312"/>
          <w:color w:val="auto"/>
          <w:sz w:val="24"/>
          <w:szCs w:val="24"/>
        </w:rPr>
        <w:t>投标有可能被拒绝。</w:t>
      </w:r>
    </w:p>
    <w:p w14:paraId="4E55D3D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2、谈判的语言及计量单位</w:t>
      </w:r>
    </w:p>
    <w:p w14:paraId="55CA2E5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（1）投标人的谈判文件以及投标人就有关谈判的所有来往函电均应使用中文。</w:t>
      </w:r>
    </w:p>
    <w:p w14:paraId="76AE500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（2）谈判文件中所使用的计量单位除采购文件中有特殊规定外，一律使用法定计量单位。</w:t>
      </w:r>
    </w:p>
    <w:p w14:paraId="57EB0BE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3、谈判文件构成</w:t>
      </w:r>
    </w:p>
    <w:p w14:paraId="092207A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投标人的谈判文件应至少包括下列内容：</w:t>
      </w:r>
    </w:p>
    <w:p w14:paraId="5A2AF4F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（1）按要求填写的谈判函、报价一览表、谈判货物情况说明表等；</w:t>
      </w:r>
    </w:p>
    <w:p w14:paraId="78838D3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（2）按要求出具的资格证明文件；</w:t>
      </w:r>
    </w:p>
    <w:p w14:paraId="658B22C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（3）企业经营业绩（</w:t>
      </w:r>
      <w:r>
        <w:rPr>
          <w:rFonts w:cs="仿宋_GB2312"/>
          <w:color w:val="auto"/>
          <w:sz w:val="24"/>
          <w:szCs w:val="24"/>
        </w:rPr>
        <w:t>202</w:t>
      </w:r>
      <w:r>
        <w:rPr>
          <w:rFonts w:hint="eastAsia" w:cs="仿宋_GB2312"/>
          <w:color w:val="auto"/>
          <w:sz w:val="24"/>
          <w:szCs w:val="24"/>
          <w:lang w:val="en-US" w:eastAsia="zh-CN"/>
        </w:rPr>
        <w:t>2</w:t>
      </w:r>
      <w:r>
        <w:rPr>
          <w:rFonts w:hint="eastAsia" w:cs="仿宋_GB2312"/>
          <w:color w:val="auto"/>
          <w:sz w:val="24"/>
          <w:szCs w:val="24"/>
        </w:rPr>
        <w:t>年1月1日以来（以合同签订日期为准），投标人具有单项合同金额</w:t>
      </w:r>
      <w:r>
        <w:rPr>
          <w:rFonts w:hint="eastAsia" w:cs="仿宋_GB2312"/>
          <w:color w:val="auto"/>
          <w:sz w:val="24"/>
          <w:szCs w:val="24"/>
          <w:lang w:val="en-US" w:eastAsia="zh-CN"/>
        </w:rPr>
        <w:t>2</w:t>
      </w:r>
      <w:r>
        <w:rPr>
          <w:rFonts w:hint="eastAsia" w:cs="仿宋_GB2312"/>
          <w:color w:val="auto"/>
          <w:sz w:val="24"/>
          <w:szCs w:val="24"/>
        </w:rPr>
        <w:t>00万元及以上的类似供货业绩；</w:t>
      </w:r>
    </w:p>
    <w:p w14:paraId="64652DF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（4）商务文件及商务偏离表；</w:t>
      </w:r>
    </w:p>
    <w:p w14:paraId="2FE4DF6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（5）技术文件及技术规格偏离表； </w:t>
      </w:r>
    </w:p>
    <w:p w14:paraId="24F915A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（6）谈判文件商务偏离和技术偏离已超越采购文件实质性要求或不符合行业常规的视为不响应谈判文件；</w:t>
      </w:r>
    </w:p>
    <w:p w14:paraId="67A5D66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（7）主要配置不响应采购文件要求或制造标准低于采购文件规定标准的视为不响应采购文件；</w:t>
      </w:r>
    </w:p>
    <w:p w14:paraId="5C4B5F4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（8）其它需要说明的事项。</w:t>
      </w:r>
    </w:p>
    <w:p w14:paraId="160DB63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4、谈判报价</w:t>
      </w:r>
    </w:p>
    <w:p w14:paraId="015C051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（1）投标人应在谈判报价表中对物资名称、型号规格、数量、到货单价、总价、到货期限等逐项填报，严格按分项报价表（附后）内容进行报价。</w:t>
      </w:r>
    </w:p>
    <w:p w14:paraId="1FCAA9D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（2）谈判价含家具材料采购、运输费、安装费、税金等施工中产生的一切费用。</w:t>
      </w:r>
    </w:p>
    <w:p w14:paraId="746B2A0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（3）《报价一览表》标明的价格，作为评标的价格依据之一，投标人可根据采购人要求进行再次报价。</w:t>
      </w:r>
    </w:p>
    <w:p w14:paraId="5DCC9AA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（4）招标文件中提到的品牌仅供参考，投标方可提供与之同档次或高档次的产品。</w:t>
      </w:r>
    </w:p>
    <w:p w14:paraId="0F0F701C">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（5）在招标文件中未提到的影响最终使用功能的附件及材料，若投标单位未另加说明，则默认包含在投标报价中。</w:t>
      </w:r>
    </w:p>
    <w:p w14:paraId="3DD2B8E0">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（6）分项报价表中的单价均为完全费率综合单价，以此作为变更增减的计算依据。</w:t>
      </w:r>
    </w:p>
    <w:p w14:paraId="0AC29052">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（7）投标单位在投标书中应明确产品的质量保证期限（不少于</w:t>
      </w:r>
      <w:r>
        <w:rPr>
          <w:rFonts w:hint="eastAsia" w:cs="仿宋_GB2312"/>
          <w:color w:val="auto"/>
          <w:sz w:val="24"/>
          <w:szCs w:val="24"/>
          <w:lang w:val="en-US" w:eastAsia="zh-CN"/>
        </w:rPr>
        <w:tab/>
      </w:r>
      <w:r>
        <w:rPr>
          <w:rFonts w:hint="eastAsia" w:cs="仿宋_GB2312"/>
          <w:color w:val="auto"/>
          <w:sz w:val="24"/>
          <w:szCs w:val="24"/>
          <w:lang w:val="en-US" w:eastAsia="zh-CN"/>
        </w:rPr>
        <w:t>六</w:t>
      </w:r>
      <w:r>
        <w:rPr>
          <w:rFonts w:hint="eastAsia" w:cs="仿宋_GB2312"/>
          <w:color w:val="auto"/>
          <w:sz w:val="24"/>
          <w:szCs w:val="24"/>
        </w:rPr>
        <w:t>年质保期）及服务承诺。</w:t>
      </w:r>
    </w:p>
    <w:p w14:paraId="46E9C696">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（8）提供本项目中涉及的相关</w:t>
      </w:r>
      <w:r>
        <w:rPr>
          <w:rFonts w:cs="仿宋_GB2312"/>
          <w:color w:val="auto"/>
          <w:sz w:val="24"/>
          <w:szCs w:val="24"/>
        </w:rPr>
        <w:t>技术文件、</w:t>
      </w:r>
      <w:r>
        <w:rPr>
          <w:rFonts w:hint="eastAsia" w:cs="仿宋_GB2312"/>
          <w:color w:val="auto"/>
          <w:sz w:val="24"/>
          <w:szCs w:val="24"/>
        </w:rPr>
        <w:t>说明书、合格证、验收资料</w:t>
      </w:r>
      <w:r>
        <w:rPr>
          <w:rFonts w:cs="仿宋_GB2312"/>
          <w:color w:val="auto"/>
          <w:sz w:val="24"/>
          <w:szCs w:val="24"/>
        </w:rPr>
        <w:t>及</w:t>
      </w:r>
      <w:r>
        <w:rPr>
          <w:rFonts w:hint="eastAsia" w:cs="仿宋_GB2312"/>
          <w:color w:val="auto"/>
          <w:sz w:val="24"/>
          <w:szCs w:val="24"/>
        </w:rPr>
        <w:t>免费的人员</w:t>
      </w:r>
      <w:r>
        <w:rPr>
          <w:rFonts w:cs="仿宋_GB2312"/>
          <w:color w:val="auto"/>
          <w:sz w:val="24"/>
          <w:szCs w:val="24"/>
        </w:rPr>
        <w:t>技术培训</w:t>
      </w:r>
      <w:r>
        <w:rPr>
          <w:rFonts w:hint="eastAsia" w:cs="仿宋_GB2312"/>
          <w:color w:val="auto"/>
          <w:sz w:val="24"/>
          <w:szCs w:val="24"/>
        </w:rPr>
        <w:t>等</w:t>
      </w:r>
      <w:r>
        <w:rPr>
          <w:rFonts w:cs="仿宋_GB2312"/>
          <w:color w:val="auto"/>
          <w:sz w:val="24"/>
          <w:szCs w:val="24"/>
        </w:rPr>
        <w:t>。</w:t>
      </w:r>
    </w:p>
    <w:p w14:paraId="0AC50F7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（9）本项目为交钥匙工程，投标单位必须结合现场按照设计图纸进行安装、调试，包括完成本项目所必需的，但未提及的内容。</w:t>
      </w:r>
    </w:p>
    <w:p w14:paraId="5B78947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（10）谈判报价的币种以人民币报价。</w:t>
      </w:r>
    </w:p>
    <w:p w14:paraId="7B70AD8F">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5、投标人资格证明文件</w:t>
      </w:r>
    </w:p>
    <w:p w14:paraId="0337D3E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（1）投标人有效的营业执照</w:t>
      </w:r>
      <w:r>
        <w:rPr>
          <w:rFonts w:hint="eastAsia" w:cs="仿宋_GB2312"/>
          <w:color w:val="auto"/>
          <w:sz w:val="24"/>
          <w:szCs w:val="24"/>
          <w:lang w:eastAsia="zh-CN"/>
        </w:rPr>
        <w:t>（</w:t>
      </w:r>
      <w:r>
        <w:rPr>
          <w:rFonts w:hint="eastAsia" w:cs="仿宋_GB2312"/>
          <w:color w:val="auto"/>
          <w:sz w:val="24"/>
          <w:szCs w:val="24"/>
        </w:rPr>
        <w:t>三证合一</w:t>
      </w:r>
      <w:r>
        <w:rPr>
          <w:rFonts w:hint="eastAsia" w:cs="仿宋_GB2312"/>
          <w:color w:val="auto"/>
          <w:sz w:val="24"/>
          <w:szCs w:val="24"/>
          <w:lang w:eastAsia="zh-CN"/>
        </w:rPr>
        <w:t>）</w:t>
      </w:r>
      <w:r>
        <w:rPr>
          <w:rFonts w:hint="eastAsia" w:cs="仿宋_GB2312"/>
          <w:color w:val="auto"/>
          <w:sz w:val="24"/>
          <w:szCs w:val="24"/>
        </w:rPr>
        <w:t>等相关证明文件。</w:t>
      </w:r>
    </w:p>
    <w:p w14:paraId="46BEEBF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（2）法定代表人授权书（原件）；</w:t>
      </w:r>
    </w:p>
    <w:p w14:paraId="46DBFCD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（3）授权代表人身份证（复印件）；</w:t>
      </w:r>
    </w:p>
    <w:p w14:paraId="05B338E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（4）投标人认为有必要提供的声明及文件（如：CQC中国环保产品认证证书</w:t>
      </w:r>
      <w:r>
        <w:rPr>
          <w:rFonts w:hint="eastAsia" w:ascii="等线" w:hAnsi="等线" w:eastAsia="等线"/>
          <w:snapToGrid w:val="0"/>
          <w:color w:val="auto"/>
          <w:sz w:val="24"/>
        </w:rPr>
        <w:t>、</w:t>
      </w:r>
      <w:r>
        <w:rPr>
          <w:rFonts w:hint="eastAsia" w:cs="仿宋_GB2312"/>
          <w:color w:val="auto"/>
          <w:sz w:val="24"/>
          <w:szCs w:val="24"/>
        </w:rPr>
        <w:t>品质验证证书（CQTA）、Greenguard绿色认证证书等）；</w:t>
      </w:r>
    </w:p>
    <w:p w14:paraId="3B48C7FF">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（5）竞标企业近三年财务报表（资产负债表和损益表）； </w:t>
      </w:r>
    </w:p>
    <w:p w14:paraId="44741421">
      <w:pPr>
        <w:pStyle w:val="17"/>
        <w:widowControl w:val="0"/>
        <w:adjustRightInd w:val="0"/>
        <w:snapToGrid w:val="0"/>
        <w:spacing w:before="0" w:beforeAutospacing="0" w:after="0" w:afterAutospacing="0" w:line="360" w:lineRule="auto"/>
        <w:ind w:firstLine="480" w:firstLineChars="200"/>
        <w:rPr>
          <w:rFonts w:hint="eastAsia" w:eastAsia="宋体" w:cs="仿宋_GB2312"/>
          <w:color w:val="auto"/>
          <w:sz w:val="24"/>
          <w:szCs w:val="24"/>
          <w:lang w:eastAsia="zh-CN"/>
        </w:rPr>
      </w:pPr>
      <w:r>
        <w:rPr>
          <w:rFonts w:hint="eastAsia" w:cs="仿宋_GB2312"/>
          <w:color w:val="auto"/>
          <w:sz w:val="24"/>
          <w:szCs w:val="24"/>
        </w:rPr>
        <w:t>（6）企业经营业绩（</w:t>
      </w:r>
      <w:r>
        <w:rPr>
          <w:rFonts w:cs="仿宋_GB2312"/>
          <w:color w:val="auto"/>
          <w:sz w:val="24"/>
          <w:szCs w:val="24"/>
        </w:rPr>
        <w:t>202</w:t>
      </w:r>
      <w:r>
        <w:rPr>
          <w:rFonts w:hint="eastAsia" w:cs="仿宋_GB2312"/>
          <w:color w:val="auto"/>
          <w:sz w:val="24"/>
          <w:szCs w:val="24"/>
          <w:lang w:val="en-US" w:eastAsia="zh-CN"/>
        </w:rPr>
        <w:t>2</w:t>
      </w:r>
      <w:r>
        <w:rPr>
          <w:rFonts w:hint="eastAsia" w:cs="仿宋_GB2312"/>
          <w:color w:val="auto"/>
          <w:sz w:val="24"/>
          <w:szCs w:val="24"/>
        </w:rPr>
        <w:t>年1月1日以来（以合同签订日期为准），投标人具有</w:t>
      </w:r>
      <w:r>
        <w:rPr>
          <w:rFonts w:hint="eastAsia" w:cs="仿宋_GB2312"/>
          <w:color w:val="auto"/>
          <w:sz w:val="24"/>
          <w:szCs w:val="24"/>
          <w:lang w:val="en-US" w:eastAsia="zh-CN"/>
        </w:rPr>
        <w:t>山西省</w:t>
      </w:r>
      <w:r>
        <w:rPr>
          <w:rFonts w:hint="eastAsia" w:cs="仿宋_GB2312"/>
          <w:color w:val="auto"/>
          <w:sz w:val="24"/>
          <w:szCs w:val="24"/>
        </w:rPr>
        <w:t>单项合同金额</w:t>
      </w:r>
      <w:r>
        <w:rPr>
          <w:rFonts w:hint="eastAsia" w:cs="仿宋_GB2312"/>
          <w:color w:val="auto"/>
          <w:sz w:val="24"/>
          <w:szCs w:val="24"/>
          <w:lang w:val="en-US" w:eastAsia="zh-CN"/>
        </w:rPr>
        <w:t>2</w:t>
      </w:r>
      <w:r>
        <w:rPr>
          <w:rFonts w:hint="eastAsia" w:cs="仿宋_GB2312"/>
          <w:color w:val="auto"/>
          <w:sz w:val="24"/>
          <w:szCs w:val="24"/>
        </w:rPr>
        <w:t>00万元及以上的类似供货业绩</w:t>
      </w:r>
      <w:r>
        <w:rPr>
          <w:rFonts w:hint="eastAsia" w:cs="仿宋_GB2312"/>
          <w:color w:val="auto"/>
          <w:sz w:val="24"/>
          <w:szCs w:val="24"/>
          <w:lang w:eastAsia="zh-CN"/>
        </w:rPr>
        <w:t>。</w:t>
      </w:r>
    </w:p>
    <w:p w14:paraId="059B76B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标书正本中以上复印件均应加盖投标人公章，副本提供加盖公章的复印件。</w:t>
      </w:r>
    </w:p>
    <w:p w14:paraId="1977BBA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6、谈判物资符合采购文件规定的技术响应文件</w:t>
      </w:r>
    </w:p>
    <w:p w14:paraId="09ABCFB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（1）投标人必须依据采购文件中采购项目要求及技术规格的要求逐条说明谈判物资的适用性。</w:t>
      </w:r>
    </w:p>
    <w:p w14:paraId="2E32D80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（2）投标人必须提交其所谈判物资和服务符合采购文件的技术响应文件。该文件可以是文字资料、图纸和数据。</w:t>
      </w:r>
    </w:p>
    <w:p w14:paraId="4246CA6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7、谈判文件的有效期</w:t>
      </w:r>
    </w:p>
    <w:p w14:paraId="5F49F216">
      <w:pPr>
        <w:adjustRightInd w:val="0"/>
        <w:snapToGrid w:val="0"/>
        <w:spacing w:line="360" w:lineRule="auto"/>
        <w:ind w:firstLine="480" w:firstLineChars="200"/>
        <w:rPr>
          <w:rFonts w:hint="eastAsia" w:ascii="宋体" w:hAnsi="宋体" w:cs="仿宋_GB2312"/>
          <w:color w:val="auto"/>
          <w:kern w:val="0"/>
          <w:sz w:val="24"/>
        </w:rPr>
      </w:pPr>
      <w:r>
        <w:rPr>
          <w:rFonts w:hint="eastAsia" w:ascii="宋体" w:hAnsi="宋体" w:cs="仿宋_GB2312"/>
          <w:color w:val="auto"/>
          <w:kern w:val="0"/>
          <w:sz w:val="24"/>
        </w:rPr>
        <w:t>（1）谈判文件自谈判之日起90日内有效。</w:t>
      </w:r>
    </w:p>
    <w:p w14:paraId="6FB648F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olor w:val="auto"/>
          <w:sz w:val="24"/>
          <w:szCs w:val="24"/>
        </w:rPr>
        <w:t>（2）特殊情况下</w:t>
      </w:r>
      <w:r>
        <w:rPr>
          <w:color w:val="auto"/>
          <w:sz w:val="24"/>
          <w:szCs w:val="24"/>
        </w:rPr>
        <w:t>,</w:t>
      </w:r>
      <w:r>
        <w:rPr>
          <w:rFonts w:hint="eastAsia"/>
          <w:color w:val="auto"/>
          <w:sz w:val="24"/>
          <w:szCs w:val="24"/>
        </w:rPr>
        <w:t>在原谈判有效期内</w:t>
      </w:r>
      <w:r>
        <w:rPr>
          <w:color w:val="auto"/>
          <w:sz w:val="24"/>
          <w:szCs w:val="24"/>
        </w:rPr>
        <w:t>,</w:t>
      </w:r>
      <w:r>
        <w:rPr>
          <w:rFonts w:hint="eastAsia"/>
          <w:color w:val="auto"/>
          <w:sz w:val="24"/>
          <w:szCs w:val="24"/>
        </w:rPr>
        <w:t>采购人可征得投标人同意延长谈判有效期。这种要求与答复均应以书面形式进行，如邮寄原件、电子邮件、扫描、传真等。</w:t>
      </w:r>
    </w:p>
    <w:p w14:paraId="6585E29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8、谈判文件的签署及装订</w:t>
      </w:r>
    </w:p>
    <w:p w14:paraId="5D5A1BC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（1）谈判文件正本和副本须打印并装订成册。</w:t>
      </w:r>
    </w:p>
    <w:p w14:paraId="7BBD6B8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（2）谈判文件需使用不褪色黑色字体打印，书写应清楚工整，修改部分应由投标人或其授权代表签字并加盖公章。</w:t>
      </w:r>
    </w:p>
    <w:p w14:paraId="48408C8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（3）字迹潦草、表达不清、未按要求填写或可能导致非唯一理解的谈判文件可能被定为废标。</w:t>
      </w:r>
    </w:p>
    <w:p w14:paraId="29F1A86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（4）谈判文件应有法定代表人或投标人授权代表在规定签章处逐一签署并加盖投标人公章。</w:t>
      </w:r>
    </w:p>
    <w:p w14:paraId="7E709B29">
      <w:pPr>
        <w:pStyle w:val="17"/>
        <w:widowControl w:val="0"/>
        <w:adjustRightInd w:val="0"/>
        <w:snapToGrid w:val="0"/>
        <w:spacing w:before="0" w:beforeAutospacing="0" w:after="0" w:afterAutospacing="0" w:line="360" w:lineRule="auto"/>
        <w:ind w:firstLine="480" w:firstLineChars="200"/>
        <w:rPr>
          <w:rFonts w:hint="eastAsia"/>
          <w:color w:val="auto"/>
          <w:sz w:val="24"/>
          <w:szCs w:val="24"/>
        </w:rPr>
      </w:pPr>
      <w:r>
        <w:rPr>
          <w:rFonts w:hint="eastAsia" w:cs="仿宋_GB2312"/>
          <w:color w:val="auto"/>
          <w:sz w:val="24"/>
          <w:szCs w:val="24"/>
        </w:rPr>
        <w:t>（5）谈判文件的份数：一式</w:t>
      </w:r>
      <w:r>
        <w:rPr>
          <w:rFonts w:hint="eastAsia" w:cs="仿宋_GB2312"/>
          <w:color w:val="auto"/>
          <w:sz w:val="24"/>
          <w:szCs w:val="24"/>
          <w:lang w:val="en-US" w:eastAsia="zh-CN"/>
        </w:rPr>
        <w:t>三</w:t>
      </w:r>
      <w:r>
        <w:rPr>
          <w:rFonts w:hint="eastAsia" w:cs="仿宋_GB2312"/>
          <w:color w:val="auto"/>
          <w:sz w:val="24"/>
          <w:szCs w:val="24"/>
        </w:rPr>
        <w:t>份，其中正本1份，副本</w:t>
      </w:r>
      <w:r>
        <w:rPr>
          <w:rFonts w:hint="eastAsia" w:cs="仿宋_GB2312"/>
          <w:color w:val="auto"/>
          <w:sz w:val="24"/>
          <w:szCs w:val="24"/>
          <w:lang w:val="en-US" w:eastAsia="zh-CN"/>
        </w:rPr>
        <w:t>2</w:t>
      </w:r>
      <w:r>
        <w:rPr>
          <w:rFonts w:hint="eastAsia" w:cs="仿宋_GB2312"/>
          <w:color w:val="auto"/>
          <w:sz w:val="24"/>
          <w:szCs w:val="24"/>
        </w:rPr>
        <w:t>份，并在谈判文件的封面上注明“正本”、“副本”字样，</w:t>
      </w:r>
      <w:r>
        <w:rPr>
          <w:rFonts w:hint="eastAsia"/>
          <w:color w:val="auto"/>
          <w:sz w:val="24"/>
          <w:szCs w:val="24"/>
        </w:rPr>
        <w:t>正本与副本不符的以正本为准</w:t>
      </w:r>
      <w:r>
        <w:rPr>
          <w:rFonts w:hint="eastAsia"/>
          <w:color w:val="auto"/>
          <w:sz w:val="24"/>
          <w:szCs w:val="24"/>
          <w:lang w:eastAsia="zh-CN"/>
        </w:rPr>
        <w:t>，</w:t>
      </w:r>
      <w:r>
        <w:rPr>
          <w:rFonts w:hint="eastAsia"/>
          <w:color w:val="auto"/>
          <w:sz w:val="24"/>
          <w:szCs w:val="24"/>
          <w:lang w:val="en-US" w:eastAsia="zh-CN"/>
        </w:rPr>
        <w:t>副本可为正本复印件</w:t>
      </w:r>
      <w:r>
        <w:rPr>
          <w:rFonts w:hint="eastAsia"/>
          <w:color w:val="auto"/>
          <w:sz w:val="24"/>
          <w:szCs w:val="24"/>
        </w:rPr>
        <w:t>。</w:t>
      </w:r>
    </w:p>
    <w:p w14:paraId="4F6BB448">
      <w:pPr>
        <w:pStyle w:val="17"/>
        <w:widowControl w:val="0"/>
        <w:adjustRightInd w:val="0"/>
        <w:snapToGrid w:val="0"/>
        <w:spacing w:before="0" w:beforeAutospacing="0" w:after="0" w:afterAutospacing="0" w:line="360" w:lineRule="auto"/>
        <w:ind w:firstLine="480" w:firstLineChars="200"/>
        <w:rPr>
          <w:rFonts w:hint="eastAsia" w:cs="仿宋_GB2312"/>
          <w:b/>
          <w:color w:val="auto"/>
          <w:sz w:val="24"/>
          <w:szCs w:val="24"/>
        </w:rPr>
      </w:pPr>
      <w:r>
        <w:rPr>
          <w:rFonts w:hint="eastAsia" w:cs="仿宋_GB2312"/>
          <w:color w:val="auto"/>
          <w:sz w:val="24"/>
          <w:szCs w:val="24"/>
        </w:rPr>
        <w:t xml:space="preserve"> </w:t>
      </w:r>
      <w:r>
        <w:rPr>
          <w:rFonts w:hint="eastAsia" w:cs="仿宋_GB2312"/>
          <w:b/>
          <w:bCs/>
          <w:color w:val="auto"/>
          <w:sz w:val="24"/>
          <w:szCs w:val="24"/>
        </w:rPr>
        <w:t>四、谈判文件的递交</w:t>
      </w:r>
    </w:p>
    <w:p w14:paraId="280E82C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 1、谈判文件的密封与标记</w:t>
      </w:r>
    </w:p>
    <w:p w14:paraId="0008C7D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（1）投标人应将谈判文件正本和副本分别装入文件袋内加以密封，并在封签处加盖投标人公章（或谈判专用章）。</w:t>
      </w:r>
    </w:p>
    <w:p w14:paraId="1FF4D3E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（2）谈判的文件袋封条上应写明：</w:t>
      </w:r>
    </w:p>
    <w:p w14:paraId="138E16D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 ①采购项目名称；</w:t>
      </w:r>
    </w:p>
    <w:p w14:paraId="36FA4D57">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②竞标企业名称和地址；</w:t>
      </w:r>
    </w:p>
    <w:p w14:paraId="66399B6A">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③“正本”、“副本”应注明“谈判时启封”。</w:t>
      </w:r>
    </w:p>
    <w:p w14:paraId="2169A321">
      <w:pPr>
        <w:pStyle w:val="17"/>
        <w:widowControl w:val="0"/>
        <w:adjustRightInd w:val="0"/>
        <w:snapToGrid w:val="0"/>
        <w:spacing w:before="0" w:beforeAutospacing="0" w:after="0" w:afterAutospacing="0" w:line="360" w:lineRule="auto"/>
        <w:ind w:firstLine="480" w:firstLineChars="200"/>
        <w:rPr>
          <w:rFonts w:hint="eastAsia" w:cs="仿宋_GB2312"/>
          <w:bCs/>
          <w:color w:val="auto"/>
          <w:sz w:val="24"/>
          <w:szCs w:val="24"/>
        </w:rPr>
      </w:pPr>
      <w:r>
        <w:rPr>
          <w:rFonts w:hint="eastAsia" w:cs="仿宋_GB2312"/>
          <w:bCs/>
          <w:color w:val="auto"/>
          <w:sz w:val="24"/>
          <w:szCs w:val="24"/>
        </w:rPr>
        <w:t>（4）为方便采购人查验谈判授权代表人身份，授权代表人应随身携带身份证原件、法定代表人授权书等资质证明文件备查。</w:t>
      </w:r>
    </w:p>
    <w:p w14:paraId="76711BD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2、谈判截止日期</w:t>
      </w:r>
    </w:p>
    <w:p w14:paraId="702AE93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（1）投标人必须在采购文件规定的谈判截止时间前送达指定的谈判地址。</w:t>
      </w:r>
    </w:p>
    <w:p w14:paraId="2EC4C8A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（2）采购人推迟谈判截止日期时，将以书面文件、传真、电子邮件的其中一种形式通知所有投标人。</w:t>
      </w:r>
    </w:p>
    <w:p w14:paraId="4A46A17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（3）在谈判截止时间以后送达的谈判文件，采购人拒绝接收。</w:t>
      </w:r>
    </w:p>
    <w:p w14:paraId="6A7A71AE">
      <w:pPr>
        <w:spacing w:line="360" w:lineRule="auto"/>
        <w:ind w:firstLine="472" w:firstLineChars="196"/>
        <w:rPr>
          <w:rFonts w:hint="eastAsia" w:cs="仿宋_GB2312"/>
          <w:b/>
          <w:color w:val="auto"/>
          <w:sz w:val="24"/>
        </w:rPr>
      </w:pPr>
      <w:r>
        <w:rPr>
          <w:rFonts w:hint="eastAsia" w:cs="仿宋_GB2312"/>
          <w:b/>
          <w:bCs/>
          <w:color w:val="auto"/>
          <w:sz w:val="24"/>
        </w:rPr>
        <w:t>五、谈判及评议</w:t>
      </w:r>
    </w:p>
    <w:p w14:paraId="20DAC43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w:t>
      </w:r>
    </w:p>
    <w:p w14:paraId="1C91124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w:t>
      </w:r>
      <w:r>
        <w:rPr>
          <w:rFonts w:cs="仿宋_GB2312"/>
          <w:color w:val="auto"/>
          <w:sz w:val="24"/>
          <w:szCs w:val="24"/>
        </w:rPr>
        <w:t>）</w:t>
      </w:r>
      <w:r>
        <w:rPr>
          <w:rFonts w:hint="eastAsia" w:cs="仿宋_GB2312"/>
          <w:color w:val="auto"/>
          <w:sz w:val="24"/>
          <w:szCs w:val="24"/>
        </w:rPr>
        <w:t>采购人根据采购文件规定的时间、地点进行唱标，届时投标人授权代表应参加谈判大会，参加谈判大会的代表应在谈判30分钟前签到，以证明其出席会议。</w:t>
      </w:r>
    </w:p>
    <w:p w14:paraId="1D26E8E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2、评议</w:t>
      </w:r>
    </w:p>
    <w:p w14:paraId="1005D5A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（1）采购人根据采购物资的特点组建评议小组。评议小组由公司管理、经济</w:t>
      </w:r>
      <w:r>
        <w:rPr>
          <w:rFonts w:hint="eastAsia" w:cs="仿宋_GB2312"/>
          <w:color w:val="auto"/>
          <w:sz w:val="24"/>
          <w:szCs w:val="24"/>
          <w:lang w:eastAsia="zh-CN"/>
        </w:rPr>
        <w:t>、</w:t>
      </w:r>
      <w:r>
        <w:rPr>
          <w:rFonts w:hint="eastAsia" w:cs="仿宋_GB2312"/>
          <w:color w:val="auto"/>
          <w:sz w:val="24"/>
          <w:szCs w:val="24"/>
          <w:lang w:val="en-US" w:eastAsia="zh-CN"/>
        </w:rPr>
        <w:t>技术</w:t>
      </w:r>
      <w:r>
        <w:rPr>
          <w:rFonts w:hint="eastAsia" w:cs="仿宋_GB2312"/>
          <w:color w:val="auto"/>
          <w:sz w:val="24"/>
          <w:szCs w:val="24"/>
        </w:rPr>
        <w:t>等有关方面的专家组成。评议小组在本公司监察审计部门的监督下开展工作。</w:t>
      </w:r>
    </w:p>
    <w:p w14:paraId="033A304F">
      <w:pPr>
        <w:spacing w:line="360" w:lineRule="auto"/>
        <w:ind w:firstLine="480" w:firstLineChars="200"/>
        <w:rPr>
          <w:rFonts w:ascii="宋体" w:hAnsi="宋体"/>
          <w:color w:val="auto"/>
          <w:sz w:val="24"/>
        </w:rPr>
      </w:pPr>
      <w:r>
        <w:rPr>
          <w:rFonts w:hint="eastAsia" w:ascii="宋体" w:hAnsi="宋体"/>
          <w:color w:val="auto"/>
          <w:sz w:val="24"/>
        </w:rPr>
        <w:t>（2）评议过程的保密性</w:t>
      </w:r>
    </w:p>
    <w:p w14:paraId="459E20DE">
      <w:pPr>
        <w:spacing w:line="360" w:lineRule="auto"/>
        <w:ind w:firstLine="600" w:firstLineChars="250"/>
        <w:rPr>
          <w:rFonts w:ascii="宋体" w:hAnsi="宋体"/>
          <w:color w:val="auto"/>
          <w:sz w:val="24"/>
        </w:rPr>
      </w:pPr>
      <w:r>
        <w:rPr>
          <w:rFonts w:hint="eastAsia" w:ascii="宋体" w:hAnsi="宋体"/>
          <w:color w:val="auto"/>
          <w:sz w:val="24"/>
        </w:rPr>
        <w:t>①唱标后</w:t>
      </w:r>
      <w:r>
        <w:rPr>
          <w:rFonts w:ascii="宋体" w:hAnsi="宋体"/>
          <w:color w:val="auto"/>
          <w:sz w:val="24"/>
        </w:rPr>
        <w:t>,</w:t>
      </w:r>
      <w:r>
        <w:rPr>
          <w:rFonts w:hint="eastAsia" w:ascii="宋体" w:hAnsi="宋体"/>
          <w:color w:val="auto"/>
          <w:sz w:val="24"/>
        </w:rPr>
        <w:t>直到向成交的投标人授予合同时止</w:t>
      </w:r>
      <w:r>
        <w:rPr>
          <w:rFonts w:ascii="宋体" w:hAnsi="宋体"/>
          <w:color w:val="auto"/>
          <w:sz w:val="24"/>
        </w:rPr>
        <w:t>,</w:t>
      </w:r>
      <w:r>
        <w:rPr>
          <w:rFonts w:hint="eastAsia" w:ascii="宋体" w:hAnsi="宋体"/>
          <w:color w:val="auto"/>
          <w:sz w:val="24"/>
        </w:rPr>
        <w:t>凡与审查、澄清、评价和比较谈判的有关资料以及授标意见等</w:t>
      </w:r>
      <w:r>
        <w:rPr>
          <w:rFonts w:ascii="宋体" w:hAnsi="宋体"/>
          <w:color w:val="auto"/>
          <w:sz w:val="24"/>
        </w:rPr>
        <w:t>,</w:t>
      </w:r>
      <w:r>
        <w:rPr>
          <w:rFonts w:hint="eastAsia" w:ascii="宋体" w:hAnsi="宋体"/>
          <w:color w:val="auto"/>
          <w:sz w:val="24"/>
        </w:rPr>
        <w:t>均不得向投标人及与评议无关的其他人透露。</w:t>
      </w:r>
    </w:p>
    <w:p w14:paraId="4203F04C">
      <w:pPr>
        <w:spacing w:line="360" w:lineRule="auto"/>
        <w:ind w:firstLine="600" w:firstLineChars="250"/>
        <w:rPr>
          <w:rFonts w:ascii="宋体" w:hAnsi="宋体"/>
          <w:color w:val="auto"/>
          <w:sz w:val="24"/>
        </w:rPr>
      </w:pPr>
      <w:r>
        <w:rPr>
          <w:rFonts w:hint="eastAsia" w:ascii="宋体" w:hAnsi="宋体"/>
          <w:color w:val="auto"/>
          <w:sz w:val="24"/>
        </w:rPr>
        <w:t>②在评议过程中</w:t>
      </w:r>
      <w:r>
        <w:rPr>
          <w:rFonts w:ascii="宋体" w:hAnsi="宋体"/>
          <w:color w:val="auto"/>
          <w:sz w:val="24"/>
        </w:rPr>
        <w:t>,</w:t>
      </w:r>
      <w:r>
        <w:rPr>
          <w:rFonts w:hint="eastAsia" w:ascii="宋体" w:hAnsi="宋体"/>
          <w:color w:val="auto"/>
          <w:sz w:val="24"/>
        </w:rPr>
        <w:t>如果投标人试图在谈判文件审查、澄清、比较及授予合同方面向采购人施加任何影响</w:t>
      </w:r>
      <w:r>
        <w:rPr>
          <w:rFonts w:ascii="宋体" w:hAnsi="宋体"/>
          <w:color w:val="auto"/>
          <w:sz w:val="24"/>
        </w:rPr>
        <w:t>,</w:t>
      </w:r>
      <w:r>
        <w:rPr>
          <w:rFonts w:hint="eastAsia" w:ascii="宋体" w:hAnsi="宋体"/>
          <w:color w:val="auto"/>
          <w:sz w:val="24"/>
        </w:rPr>
        <w:t>其谈判将被拒绝。</w:t>
      </w:r>
    </w:p>
    <w:p w14:paraId="6C2013E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（3）谈判文件的澄清</w:t>
      </w:r>
    </w:p>
    <w:p w14:paraId="62E479FC">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①为有助于谈判文件的评审，评议小组有权请投标人就谈判文件中的有关问题予以说明和澄清，投标人有责任按照采购人通知的时间地点派专人进行答疑。</w:t>
      </w:r>
    </w:p>
    <w:p w14:paraId="05204457">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②投标人对要求说明和澄清的问题应以书面形式明确答复，并由投标人授权代表签字确认。</w:t>
      </w:r>
    </w:p>
    <w:p w14:paraId="0D77DC54">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③投标人的澄清文件是谈判文件的组成部分。</w:t>
      </w:r>
    </w:p>
    <w:p w14:paraId="1A10B878">
      <w:pPr>
        <w:pStyle w:val="17"/>
        <w:widowControl w:val="0"/>
        <w:adjustRightInd w:val="0"/>
        <w:snapToGrid w:val="0"/>
        <w:spacing w:before="0" w:beforeAutospacing="0" w:after="0" w:afterAutospacing="0" w:line="360" w:lineRule="auto"/>
        <w:ind w:firstLine="600" w:firstLineChars="250"/>
        <w:rPr>
          <w:rFonts w:hint="eastAsia" w:cs="仿宋_GB2312"/>
          <w:color w:val="auto"/>
          <w:sz w:val="24"/>
        </w:rPr>
      </w:pPr>
      <w:r>
        <w:rPr>
          <w:rFonts w:hint="eastAsia" w:cs="仿宋_GB2312"/>
          <w:color w:val="auto"/>
          <w:sz w:val="24"/>
          <w:szCs w:val="24"/>
        </w:rPr>
        <w:t>（4）</w:t>
      </w:r>
      <w:r>
        <w:rPr>
          <w:rFonts w:hint="eastAsia" w:cs="仿宋_GB2312"/>
          <w:color w:val="auto"/>
          <w:sz w:val="24"/>
        </w:rPr>
        <w:t>谈判文件必须满足以下要求，否则将作为废标处理。</w:t>
      </w:r>
    </w:p>
    <w:p w14:paraId="014DAE76">
      <w:pPr>
        <w:pStyle w:val="17"/>
        <w:widowControl w:val="0"/>
        <w:adjustRightInd w:val="0"/>
        <w:snapToGrid w:val="0"/>
        <w:spacing w:before="0" w:beforeAutospacing="0" w:after="0" w:afterAutospacing="0" w:line="360" w:lineRule="auto"/>
        <w:ind w:firstLine="525" w:firstLineChars="250"/>
        <w:rPr>
          <w:rFonts w:hint="eastAsia" w:cs="仿宋_GB2312"/>
          <w:color w:val="auto"/>
          <w:sz w:val="24"/>
          <w:szCs w:val="24"/>
        </w:rPr>
      </w:pPr>
      <w:r>
        <w:rPr>
          <w:rFonts w:hint="eastAsia" w:cs="仿宋_GB2312"/>
          <w:color w:val="auto"/>
          <w:sz w:val="21"/>
          <w:szCs w:val="21"/>
        </w:rPr>
        <w:fldChar w:fldCharType="begin"/>
      </w:r>
      <w:r>
        <w:rPr>
          <w:rFonts w:hint="eastAsia" w:cs="仿宋_GB2312"/>
          <w:color w:val="auto"/>
          <w:sz w:val="21"/>
          <w:szCs w:val="21"/>
        </w:rPr>
        <w:instrText xml:space="preserve"> = 1 \* GB3 \* MERGEFORMAT </w:instrText>
      </w:r>
      <w:r>
        <w:rPr>
          <w:rFonts w:hint="eastAsia" w:cs="仿宋_GB2312"/>
          <w:color w:val="auto"/>
          <w:sz w:val="21"/>
          <w:szCs w:val="21"/>
        </w:rPr>
        <w:fldChar w:fldCharType="separate"/>
      </w:r>
      <w:r>
        <w:rPr>
          <w:color w:val="auto"/>
          <w:sz w:val="21"/>
          <w:szCs w:val="21"/>
        </w:rPr>
        <w:t>①</w:t>
      </w:r>
      <w:r>
        <w:rPr>
          <w:rFonts w:hint="eastAsia" w:cs="仿宋_GB2312"/>
          <w:color w:val="auto"/>
          <w:sz w:val="21"/>
          <w:szCs w:val="21"/>
        </w:rPr>
        <w:fldChar w:fldCharType="end"/>
      </w:r>
      <w:r>
        <w:rPr>
          <w:rFonts w:hint="eastAsia" w:cs="仿宋_GB2312"/>
          <w:color w:val="auto"/>
          <w:sz w:val="24"/>
          <w:szCs w:val="24"/>
        </w:rPr>
        <w:t>谈判物资的技术水平、质量、性能符合采购文件的技术要求；</w:t>
      </w:r>
    </w:p>
    <w:p w14:paraId="711F1BE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②交货期满足要求；</w:t>
      </w:r>
    </w:p>
    <w:p w14:paraId="4164950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③售后服务承诺满足要求；</w:t>
      </w:r>
    </w:p>
    <w:p w14:paraId="50B83CB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④安全、环保认证等其他特殊要求符合行业规定；</w:t>
      </w:r>
    </w:p>
    <w:p w14:paraId="34B3382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⑤投标人的综合实力、业绩和信誉等满足采购文件规定资格条件。</w:t>
      </w:r>
    </w:p>
    <w:p w14:paraId="50035CEB">
      <w:pPr>
        <w:pStyle w:val="17"/>
        <w:widowControl w:val="0"/>
        <w:adjustRightInd w:val="0"/>
        <w:snapToGrid w:val="0"/>
        <w:spacing w:before="0" w:beforeAutospacing="0" w:after="0" w:afterAutospacing="0" w:line="360" w:lineRule="auto"/>
        <w:ind w:firstLine="470" w:firstLineChars="196"/>
        <w:rPr>
          <w:rFonts w:hint="eastAsia" w:cs="仿宋_GB2312"/>
          <w:color w:val="auto"/>
          <w:sz w:val="24"/>
          <w:szCs w:val="24"/>
        </w:rPr>
      </w:pPr>
      <w:r>
        <w:rPr>
          <w:rFonts w:hint="eastAsia" w:cs="仿宋_GB2312"/>
          <w:color w:val="auto"/>
          <w:sz w:val="24"/>
          <w:szCs w:val="24"/>
        </w:rPr>
        <w:t>六、授予合同</w:t>
      </w:r>
    </w:p>
    <w:p w14:paraId="1DE2326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1、成交通知</w:t>
      </w:r>
    </w:p>
    <w:p w14:paraId="559932D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（1）采购人决标委员会根据评议小组提出的书面评议报告和推荐的成交候选人决定成交人。</w:t>
      </w:r>
    </w:p>
    <w:p w14:paraId="735053A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（2）授予合同数量变更的权利：采购人在授予合同时有权对“采购物资一览表”中规定的货物数量和服务予以增加或减少。</w:t>
      </w:r>
    </w:p>
    <w:p w14:paraId="16B6B51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（3）决标结束5日内，采购人将以书面形式向成交人发出《成交通知书》，发出时间不超过谈判有效期，《成交通知书》一经发出即产生法律效力。</w:t>
      </w:r>
    </w:p>
    <w:p w14:paraId="12663FF1">
      <w:pPr>
        <w:pStyle w:val="17"/>
        <w:widowControl w:val="0"/>
        <w:adjustRightInd w:val="0"/>
        <w:snapToGrid w:val="0"/>
        <w:spacing w:before="0" w:beforeAutospacing="0" w:after="0" w:afterAutospacing="0" w:line="360" w:lineRule="auto"/>
        <w:ind w:right="-334" w:rightChars="-159" w:firstLine="480" w:firstLineChars="200"/>
        <w:rPr>
          <w:rFonts w:hint="eastAsia" w:cs="仿宋_GB2312"/>
          <w:color w:val="auto"/>
          <w:sz w:val="24"/>
          <w:szCs w:val="24"/>
        </w:rPr>
      </w:pPr>
      <w:r>
        <w:rPr>
          <w:rFonts w:hint="eastAsia" w:cs="仿宋_GB2312"/>
          <w:color w:val="auto"/>
          <w:sz w:val="24"/>
          <w:szCs w:val="24"/>
        </w:rPr>
        <w:t>（4）《成交通知书》将作为签订合同的依据。</w:t>
      </w:r>
    </w:p>
    <w:p w14:paraId="41B79CA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bCs/>
          <w:color w:val="auto"/>
          <w:sz w:val="24"/>
          <w:szCs w:val="24"/>
        </w:rPr>
        <w:t>2、合同签订</w:t>
      </w:r>
    </w:p>
    <w:p w14:paraId="6B47B83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（1）成交人收到《成交通知书》后，应按《成交通知书》中规定的时间、地点与买受人签订合同。</w:t>
      </w:r>
    </w:p>
    <w:p w14:paraId="5C11365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（2）采购文件、谈判文件及评议过程中形成的书面文件均作为签订合同的依据。</w:t>
      </w:r>
    </w:p>
    <w:p w14:paraId="4854443A">
      <w:pPr>
        <w:pStyle w:val="17"/>
        <w:widowControl w:val="0"/>
        <w:adjustRightInd w:val="0"/>
        <w:snapToGrid w:val="0"/>
        <w:spacing w:before="0" w:beforeAutospacing="0" w:after="0" w:afterAutospacing="0" w:line="360" w:lineRule="auto"/>
        <w:ind w:firstLine="562" w:firstLineChars="200"/>
        <w:jc w:val="center"/>
        <w:rPr>
          <w:rFonts w:hint="eastAsia" w:cs="仿宋_GB2312"/>
          <w:b/>
          <w:bCs/>
          <w:color w:val="auto"/>
          <w:sz w:val="28"/>
          <w:szCs w:val="28"/>
        </w:rPr>
      </w:pPr>
    </w:p>
    <w:p w14:paraId="489F8609">
      <w:pPr>
        <w:pStyle w:val="17"/>
        <w:widowControl w:val="0"/>
        <w:adjustRightInd w:val="0"/>
        <w:snapToGrid w:val="0"/>
        <w:spacing w:before="0" w:beforeAutospacing="0" w:after="0" w:afterAutospacing="0" w:line="360" w:lineRule="auto"/>
        <w:ind w:firstLine="562" w:firstLineChars="200"/>
        <w:jc w:val="center"/>
        <w:rPr>
          <w:rFonts w:hint="eastAsia" w:cs="仿宋_GB2312"/>
          <w:b/>
          <w:bCs/>
          <w:color w:val="auto"/>
          <w:sz w:val="28"/>
          <w:szCs w:val="28"/>
        </w:rPr>
      </w:pPr>
      <w:r>
        <w:rPr>
          <w:rFonts w:hint="eastAsia" w:cs="仿宋_GB2312"/>
          <w:b/>
          <w:bCs/>
          <w:color w:val="auto"/>
          <w:sz w:val="28"/>
          <w:szCs w:val="28"/>
        </w:rPr>
        <w:t>第二部分 合同主要条款</w:t>
      </w:r>
    </w:p>
    <w:p w14:paraId="42C7D080">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1、合同定义</w:t>
      </w:r>
    </w:p>
    <w:p w14:paraId="548ACB61">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（1）“标的物</w:t>
      </w:r>
      <w:r>
        <w:rPr>
          <w:rFonts w:ascii="宋体" w:hAnsi="宋体"/>
          <w:color w:val="auto"/>
          <w:sz w:val="24"/>
        </w:rPr>
        <w:t>”</w:t>
      </w:r>
      <w:r>
        <w:rPr>
          <w:rFonts w:hint="eastAsia" w:ascii="宋体" w:hAnsi="宋体"/>
          <w:color w:val="auto"/>
          <w:sz w:val="24"/>
        </w:rPr>
        <w:t>系指出卖人根据合同规定须向买受人提供的符合买受人要求的物资。</w:t>
      </w:r>
    </w:p>
    <w:p w14:paraId="7369B010">
      <w:pPr>
        <w:widowControl/>
        <w:spacing w:line="360" w:lineRule="auto"/>
        <w:ind w:firstLine="480" w:firstLineChars="200"/>
        <w:jc w:val="left"/>
        <w:rPr>
          <w:rFonts w:ascii="宋体" w:hAnsi="宋体"/>
          <w:color w:val="auto"/>
          <w:sz w:val="24"/>
        </w:rPr>
      </w:pPr>
      <w:r>
        <w:rPr>
          <w:rFonts w:hint="eastAsia" w:ascii="宋体" w:hAnsi="宋体"/>
          <w:color w:val="auto"/>
          <w:sz w:val="24"/>
        </w:rPr>
        <w:t>（2）“买受人”系指</w:t>
      </w:r>
      <w:r>
        <w:rPr>
          <w:rFonts w:hint="eastAsia" w:ascii="宋体" w:hAnsi="宋体" w:cs="仿宋_GB2312"/>
          <w:color w:val="auto"/>
          <w:sz w:val="24"/>
        </w:rPr>
        <w:t>山西煤机装备制造有限责任公司</w:t>
      </w:r>
      <w:r>
        <w:rPr>
          <w:rFonts w:hint="eastAsia" w:ascii="宋体" w:hAnsi="宋体"/>
          <w:color w:val="auto"/>
          <w:sz w:val="24"/>
        </w:rPr>
        <w:t>。</w:t>
      </w:r>
    </w:p>
    <w:p w14:paraId="78F3E623">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rPr>
        <w:t>出卖人</w:t>
      </w:r>
      <w:r>
        <w:rPr>
          <w:rFonts w:hint="eastAsia" w:ascii="宋体" w:hAnsi="宋体"/>
          <w:color w:val="auto"/>
          <w:sz w:val="24"/>
          <w:szCs w:val="24"/>
        </w:rPr>
        <w:t>”系指提供</w:t>
      </w:r>
      <w:r>
        <w:rPr>
          <w:rFonts w:hint="eastAsia" w:cs="仿宋_GB2312"/>
          <w:color w:val="auto"/>
          <w:sz w:val="24"/>
          <w:szCs w:val="24"/>
        </w:rPr>
        <w:t>物资</w:t>
      </w:r>
      <w:r>
        <w:rPr>
          <w:rFonts w:hint="eastAsia" w:ascii="宋体" w:hAnsi="宋体"/>
          <w:color w:val="auto"/>
          <w:sz w:val="24"/>
          <w:szCs w:val="24"/>
        </w:rPr>
        <w:t>和服务的公司或实体。</w:t>
      </w:r>
    </w:p>
    <w:p w14:paraId="7813C106">
      <w:pPr>
        <w:spacing w:line="360" w:lineRule="auto"/>
        <w:ind w:firstLine="480" w:firstLineChars="200"/>
        <w:rPr>
          <w:rFonts w:hint="eastAsia" w:ascii="宋体" w:hAnsi="宋体" w:cs="仿宋_GB2312"/>
          <w:color w:val="auto"/>
          <w:sz w:val="24"/>
          <w:bdr w:val="single" w:color="auto" w:sz="4" w:space="0"/>
        </w:rPr>
      </w:pPr>
      <w:r>
        <w:rPr>
          <w:rFonts w:hint="eastAsia" w:ascii="宋体" w:hAnsi="宋体"/>
          <w:color w:val="auto"/>
          <w:sz w:val="24"/>
        </w:rPr>
        <w:t>（4）“服务</w:t>
      </w:r>
      <w:r>
        <w:rPr>
          <w:rFonts w:ascii="宋体" w:hAnsi="宋体"/>
          <w:color w:val="auto"/>
          <w:sz w:val="24"/>
        </w:rPr>
        <w:t>”</w:t>
      </w:r>
      <w:r>
        <w:rPr>
          <w:rFonts w:hint="eastAsia" w:ascii="宋体" w:hAnsi="宋体"/>
          <w:color w:val="auto"/>
          <w:sz w:val="24"/>
        </w:rPr>
        <w:t>系指根据合同规定出卖人承担与供货有关的辅助服务，比如运输、保险、安装以及其它的伴随服务和合同中规定出卖人应承担的其它义务。</w:t>
      </w:r>
    </w:p>
    <w:p w14:paraId="1A3E4C73">
      <w:pPr>
        <w:spacing w:line="360" w:lineRule="auto"/>
        <w:ind w:firstLine="480" w:firstLineChars="200"/>
        <w:rPr>
          <w:rFonts w:hint="eastAsia" w:ascii="宋体" w:hAnsi="宋体"/>
          <w:color w:val="auto"/>
          <w:sz w:val="24"/>
        </w:rPr>
      </w:pPr>
      <w:r>
        <w:rPr>
          <w:rFonts w:hint="eastAsia" w:ascii="宋体" w:hAnsi="宋体"/>
          <w:color w:val="auto"/>
          <w:sz w:val="24"/>
        </w:rPr>
        <w:t>2、质量标准</w:t>
      </w:r>
    </w:p>
    <w:p w14:paraId="13FA1962">
      <w:pPr>
        <w:spacing w:line="360" w:lineRule="auto"/>
        <w:ind w:firstLine="480" w:firstLineChars="200"/>
        <w:rPr>
          <w:rFonts w:hint="eastAsia" w:ascii="宋体" w:hAnsi="宋体"/>
          <w:color w:val="auto"/>
          <w:sz w:val="24"/>
        </w:rPr>
      </w:pPr>
      <w:r>
        <w:rPr>
          <w:rFonts w:hint="eastAsia" w:ascii="宋体" w:hAnsi="宋体"/>
          <w:color w:val="auto"/>
          <w:sz w:val="24"/>
        </w:rPr>
        <w:t>（1）本合同项下交付的</w:t>
      </w:r>
      <w:r>
        <w:rPr>
          <w:rFonts w:hint="eastAsia" w:cs="仿宋_GB2312"/>
          <w:color w:val="auto"/>
          <w:sz w:val="24"/>
        </w:rPr>
        <w:t>物资</w:t>
      </w:r>
      <w:r>
        <w:rPr>
          <w:rFonts w:hint="eastAsia" w:ascii="宋体" w:hAnsi="宋体"/>
          <w:color w:val="auto"/>
          <w:sz w:val="24"/>
        </w:rPr>
        <w:t>应符合中华人民共和国国家标准或行业标准及采购文件技术规范书的要求。</w:t>
      </w:r>
    </w:p>
    <w:p w14:paraId="67E59119">
      <w:pPr>
        <w:spacing w:line="360" w:lineRule="auto"/>
        <w:ind w:firstLine="480" w:firstLineChars="200"/>
        <w:rPr>
          <w:rFonts w:hint="eastAsia" w:ascii="宋体" w:hAnsi="宋体"/>
          <w:color w:val="auto"/>
          <w:sz w:val="24"/>
        </w:rPr>
      </w:pPr>
      <w:r>
        <w:rPr>
          <w:rFonts w:hint="eastAsia" w:ascii="宋体" w:hAnsi="宋体"/>
          <w:color w:val="auto"/>
          <w:sz w:val="24"/>
        </w:rPr>
        <w:t>（2）计量单位均应采用中华人民共和国法定计量单位。</w:t>
      </w:r>
    </w:p>
    <w:p w14:paraId="778A160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rPr>
        <w:t>3、</w:t>
      </w:r>
      <w:r>
        <w:rPr>
          <w:rFonts w:hint="eastAsia" w:ascii="宋体" w:hAnsi="宋体"/>
          <w:color w:val="auto"/>
          <w:sz w:val="24"/>
          <w:szCs w:val="24"/>
        </w:rPr>
        <w:t>检验和测试</w:t>
      </w:r>
    </w:p>
    <w:p w14:paraId="0EA23C53">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rPr>
        <w:t>买受人</w:t>
      </w:r>
      <w:r>
        <w:rPr>
          <w:rFonts w:hint="eastAsia" w:ascii="宋体" w:hAnsi="宋体"/>
          <w:color w:val="auto"/>
          <w:sz w:val="24"/>
          <w:szCs w:val="24"/>
        </w:rPr>
        <w:t>有权检验和测试</w:t>
      </w:r>
      <w:r>
        <w:rPr>
          <w:rFonts w:hint="eastAsia" w:cs="仿宋_GB2312"/>
          <w:color w:val="auto"/>
          <w:sz w:val="24"/>
          <w:szCs w:val="24"/>
        </w:rPr>
        <w:t>物资的质量和性能</w:t>
      </w:r>
      <w:r>
        <w:rPr>
          <w:rFonts w:ascii="宋体" w:hAnsi="宋体"/>
          <w:color w:val="auto"/>
          <w:sz w:val="24"/>
          <w:szCs w:val="24"/>
        </w:rPr>
        <w:t>，</w:t>
      </w:r>
      <w:r>
        <w:rPr>
          <w:rFonts w:hint="eastAsia" w:ascii="宋体" w:hAnsi="宋体"/>
          <w:color w:val="auto"/>
          <w:sz w:val="24"/>
          <w:szCs w:val="24"/>
        </w:rPr>
        <w:t>以确认</w:t>
      </w:r>
      <w:r>
        <w:rPr>
          <w:rFonts w:hint="eastAsia" w:cs="仿宋_GB2312"/>
          <w:color w:val="auto"/>
          <w:sz w:val="24"/>
          <w:szCs w:val="24"/>
        </w:rPr>
        <w:t>物资</w:t>
      </w:r>
      <w:r>
        <w:rPr>
          <w:rFonts w:hint="eastAsia" w:ascii="宋体" w:hAnsi="宋体"/>
          <w:color w:val="auto"/>
          <w:sz w:val="24"/>
          <w:szCs w:val="24"/>
        </w:rPr>
        <w:t>是否符合合同规定的要求</w:t>
      </w:r>
      <w:r>
        <w:rPr>
          <w:rFonts w:ascii="宋体" w:hAnsi="宋体"/>
          <w:color w:val="auto"/>
          <w:sz w:val="24"/>
          <w:szCs w:val="24"/>
        </w:rPr>
        <w:t>，</w:t>
      </w:r>
      <w:r>
        <w:rPr>
          <w:rFonts w:hint="eastAsia" w:ascii="宋体" w:hAnsi="宋体"/>
          <w:color w:val="auto"/>
          <w:sz w:val="24"/>
          <w:szCs w:val="24"/>
        </w:rPr>
        <w:t>并且不承担额外的费用。</w:t>
      </w:r>
    </w:p>
    <w:p w14:paraId="74EAD15C">
      <w:pPr>
        <w:pStyle w:val="8"/>
        <w:spacing w:after="0" w:line="360" w:lineRule="auto"/>
        <w:ind w:firstLine="480" w:firstLineChars="200"/>
        <w:rPr>
          <w:rFonts w:hint="eastAsia"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）检验和测试可以在</w:t>
      </w:r>
      <w:r>
        <w:rPr>
          <w:rFonts w:hint="eastAsia" w:ascii="宋体" w:hAnsi="宋体"/>
          <w:color w:val="auto"/>
          <w:sz w:val="24"/>
        </w:rPr>
        <w:t>出卖人</w:t>
      </w:r>
      <w:r>
        <w:rPr>
          <w:rFonts w:hint="eastAsia" w:ascii="宋体" w:hAnsi="宋体"/>
          <w:color w:val="auto"/>
          <w:sz w:val="24"/>
          <w:szCs w:val="24"/>
        </w:rPr>
        <w:t>的驻地或交货地点进行。如果在</w:t>
      </w:r>
      <w:r>
        <w:rPr>
          <w:rFonts w:hint="eastAsia" w:ascii="宋体" w:hAnsi="宋体"/>
          <w:color w:val="auto"/>
          <w:sz w:val="24"/>
        </w:rPr>
        <w:t>出卖人</w:t>
      </w:r>
      <w:r>
        <w:rPr>
          <w:rFonts w:hint="eastAsia" w:ascii="宋体" w:hAnsi="宋体"/>
          <w:color w:val="auto"/>
          <w:sz w:val="24"/>
          <w:szCs w:val="24"/>
        </w:rPr>
        <w:t>的驻地进行，检测人员应能得到全部合理的设施和协助</w:t>
      </w:r>
      <w:r>
        <w:rPr>
          <w:rFonts w:ascii="宋体"/>
          <w:color w:val="auto"/>
          <w:sz w:val="24"/>
          <w:szCs w:val="24"/>
        </w:rPr>
        <w:t>,</w:t>
      </w:r>
      <w:r>
        <w:rPr>
          <w:rFonts w:hint="eastAsia" w:ascii="宋体" w:hAnsi="宋体"/>
          <w:color w:val="auto"/>
          <w:sz w:val="24"/>
        </w:rPr>
        <w:t>买受人</w:t>
      </w:r>
      <w:r>
        <w:rPr>
          <w:rFonts w:hint="eastAsia" w:ascii="宋体" w:hAnsi="宋体"/>
          <w:color w:val="auto"/>
          <w:sz w:val="24"/>
          <w:szCs w:val="24"/>
        </w:rPr>
        <w:t>不应承担费用。</w:t>
      </w:r>
    </w:p>
    <w:p w14:paraId="26837B0C">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（3）检验和测试物资经供需双方共同取样封存送检，如果任何被检验或测试的物资不能满足合同规定的要求</w:t>
      </w:r>
      <w:r>
        <w:rPr>
          <w:rFonts w:ascii="宋体" w:hAnsi="宋体"/>
          <w:color w:val="auto"/>
          <w:sz w:val="24"/>
          <w:szCs w:val="24"/>
        </w:rPr>
        <w:t>，</w:t>
      </w:r>
      <w:r>
        <w:rPr>
          <w:rFonts w:hint="eastAsia" w:ascii="宋体" w:hAnsi="宋体"/>
          <w:color w:val="auto"/>
          <w:sz w:val="24"/>
          <w:szCs w:val="24"/>
        </w:rPr>
        <w:t>期间产生的所有费用由出卖人承担，同时</w:t>
      </w:r>
      <w:r>
        <w:rPr>
          <w:rFonts w:hint="eastAsia" w:ascii="宋体" w:hAnsi="宋体"/>
          <w:color w:val="auto"/>
          <w:sz w:val="24"/>
        </w:rPr>
        <w:t>买受人</w:t>
      </w:r>
      <w:r>
        <w:rPr>
          <w:rFonts w:hint="eastAsia" w:ascii="宋体" w:hAnsi="宋体"/>
          <w:color w:val="auto"/>
          <w:sz w:val="24"/>
          <w:szCs w:val="24"/>
        </w:rPr>
        <w:t>有权拒绝接受该</w:t>
      </w:r>
      <w:r>
        <w:rPr>
          <w:rFonts w:hint="eastAsia" w:cs="仿宋_GB2312"/>
          <w:color w:val="auto"/>
          <w:sz w:val="24"/>
          <w:szCs w:val="24"/>
        </w:rPr>
        <w:t>物资</w:t>
      </w:r>
      <w:r>
        <w:rPr>
          <w:rFonts w:ascii="宋体" w:hAnsi="宋体"/>
          <w:color w:val="auto"/>
          <w:sz w:val="24"/>
          <w:szCs w:val="24"/>
        </w:rPr>
        <w:t>，</w:t>
      </w:r>
      <w:r>
        <w:rPr>
          <w:rFonts w:hint="eastAsia" w:ascii="宋体" w:hAnsi="宋体"/>
          <w:color w:val="auto"/>
          <w:sz w:val="24"/>
        </w:rPr>
        <w:t>出卖人</w:t>
      </w:r>
      <w:r>
        <w:rPr>
          <w:rFonts w:hint="eastAsia" w:ascii="宋体" w:hAnsi="宋体"/>
          <w:color w:val="auto"/>
          <w:sz w:val="24"/>
          <w:szCs w:val="24"/>
        </w:rPr>
        <w:t>应更换被拒绝的</w:t>
      </w:r>
      <w:r>
        <w:rPr>
          <w:rFonts w:hint="eastAsia" w:cs="仿宋_GB2312"/>
          <w:color w:val="auto"/>
          <w:sz w:val="24"/>
          <w:szCs w:val="24"/>
        </w:rPr>
        <w:t>物资</w:t>
      </w:r>
      <w:r>
        <w:rPr>
          <w:rFonts w:hint="eastAsia" w:ascii="宋体" w:hAnsi="宋体"/>
          <w:color w:val="auto"/>
          <w:sz w:val="24"/>
          <w:szCs w:val="24"/>
        </w:rPr>
        <w:t>以满足合同规定的要求。</w:t>
      </w:r>
    </w:p>
    <w:p w14:paraId="0EF753A2">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（4）如果在合同条款规定的质保期内</w:t>
      </w:r>
      <w:r>
        <w:rPr>
          <w:rFonts w:ascii="宋体" w:hAnsi="宋体"/>
          <w:color w:val="auto"/>
          <w:sz w:val="24"/>
          <w:szCs w:val="24"/>
        </w:rPr>
        <w:t>,</w:t>
      </w:r>
      <w:r>
        <w:rPr>
          <w:rFonts w:hint="eastAsia" w:ascii="宋体" w:hAnsi="宋体"/>
          <w:color w:val="auto"/>
          <w:sz w:val="24"/>
          <w:szCs w:val="24"/>
        </w:rPr>
        <w:t>根据检验和测试的结果，发现</w:t>
      </w:r>
      <w:r>
        <w:rPr>
          <w:rFonts w:hint="eastAsia" w:cs="仿宋_GB2312"/>
          <w:color w:val="auto"/>
          <w:sz w:val="24"/>
          <w:szCs w:val="24"/>
        </w:rPr>
        <w:t>物资</w:t>
      </w:r>
      <w:r>
        <w:rPr>
          <w:rFonts w:hint="eastAsia" w:ascii="宋体" w:hAnsi="宋体"/>
          <w:color w:val="auto"/>
          <w:sz w:val="24"/>
          <w:szCs w:val="24"/>
        </w:rPr>
        <w:t>的质量、性能或规格与合同要求不符</w:t>
      </w:r>
      <w:r>
        <w:rPr>
          <w:rFonts w:ascii="宋体" w:hAnsi="宋体"/>
          <w:color w:val="auto"/>
          <w:sz w:val="24"/>
          <w:szCs w:val="24"/>
        </w:rPr>
        <w:t>，</w:t>
      </w:r>
      <w:r>
        <w:rPr>
          <w:rFonts w:hint="eastAsia" w:ascii="宋体" w:hAnsi="宋体"/>
          <w:color w:val="auto"/>
          <w:sz w:val="24"/>
          <w:szCs w:val="24"/>
        </w:rPr>
        <w:t>或</w:t>
      </w:r>
      <w:r>
        <w:rPr>
          <w:rFonts w:hint="eastAsia" w:cs="仿宋_GB2312"/>
          <w:color w:val="auto"/>
          <w:sz w:val="24"/>
          <w:szCs w:val="24"/>
        </w:rPr>
        <w:t>物资</w:t>
      </w:r>
      <w:r>
        <w:rPr>
          <w:rFonts w:hint="eastAsia" w:ascii="宋体" w:hAnsi="宋体"/>
          <w:color w:val="auto"/>
          <w:sz w:val="24"/>
          <w:szCs w:val="24"/>
        </w:rPr>
        <w:t>被证实有缺陷（包括潜在的缺陷或使用不合适的材料）</w:t>
      </w:r>
      <w:r>
        <w:rPr>
          <w:rFonts w:ascii="宋体" w:hAnsi="宋体"/>
          <w:color w:val="auto"/>
          <w:sz w:val="24"/>
          <w:szCs w:val="24"/>
        </w:rPr>
        <w:t>，</w:t>
      </w:r>
      <w:r>
        <w:rPr>
          <w:rFonts w:hint="eastAsia" w:ascii="宋体" w:hAnsi="宋体"/>
          <w:color w:val="auto"/>
          <w:sz w:val="24"/>
        </w:rPr>
        <w:t>买受人有权要求退货</w:t>
      </w:r>
      <w:r>
        <w:rPr>
          <w:rFonts w:hint="eastAsia" w:ascii="宋体" w:hAnsi="宋体"/>
          <w:color w:val="auto"/>
          <w:sz w:val="24"/>
          <w:szCs w:val="24"/>
        </w:rPr>
        <w:t>或向</w:t>
      </w:r>
      <w:r>
        <w:rPr>
          <w:rFonts w:hint="eastAsia" w:ascii="宋体" w:hAnsi="宋体"/>
          <w:color w:val="auto"/>
          <w:sz w:val="24"/>
        </w:rPr>
        <w:t>出卖人</w:t>
      </w:r>
      <w:r>
        <w:rPr>
          <w:rFonts w:hint="eastAsia" w:ascii="宋体" w:hAnsi="宋体"/>
          <w:color w:val="auto"/>
          <w:sz w:val="24"/>
          <w:szCs w:val="24"/>
        </w:rPr>
        <w:t>提出索赔要求。</w:t>
      </w:r>
    </w:p>
    <w:p w14:paraId="6B2ACBEE">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4、合同价格：指出卖人的成交价格。</w:t>
      </w:r>
    </w:p>
    <w:p w14:paraId="7F3FFE8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5、交货时间：出卖人</w:t>
      </w:r>
      <w:r>
        <w:rPr>
          <w:rFonts w:ascii="宋体" w:hAnsi="宋体"/>
          <w:color w:val="auto"/>
          <w:sz w:val="24"/>
          <w:szCs w:val="24"/>
        </w:rPr>
        <w:t>按买卖合同规定将合同</w:t>
      </w:r>
      <w:r>
        <w:rPr>
          <w:rFonts w:ascii="宋体" w:hAnsi="宋体"/>
          <w:color w:val="auto"/>
          <w:sz w:val="24"/>
          <w:szCs w:val="24"/>
        </w:rPr>
        <w:fldChar w:fldCharType="begin"/>
      </w:r>
      <w:r>
        <w:rPr>
          <w:rFonts w:ascii="宋体" w:hAnsi="宋体"/>
          <w:color w:val="auto"/>
          <w:sz w:val="24"/>
          <w:szCs w:val="24"/>
        </w:rPr>
        <w:instrText xml:space="preserve"> HYPERLINK "http://baike.baidu.com/view/313707.htm" \t "_blank" </w:instrText>
      </w:r>
      <w:r>
        <w:rPr>
          <w:rFonts w:ascii="宋体" w:hAnsi="宋体"/>
          <w:color w:val="auto"/>
          <w:sz w:val="24"/>
          <w:szCs w:val="24"/>
        </w:rPr>
        <w:fldChar w:fldCharType="separate"/>
      </w:r>
      <w:r>
        <w:rPr>
          <w:rFonts w:ascii="宋体" w:hAnsi="宋体"/>
          <w:color w:val="auto"/>
          <w:sz w:val="24"/>
          <w:szCs w:val="24"/>
        </w:rPr>
        <w:t>货物</w:t>
      </w:r>
      <w:r>
        <w:rPr>
          <w:rFonts w:ascii="宋体" w:hAnsi="宋体"/>
          <w:color w:val="auto"/>
          <w:sz w:val="24"/>
          <w:szCs w:val="24"/>
        </w:rPr>
        <w:fldChar w:fldCharType="end"/>
      </w:r>
      <w:r>
        <w:rPr>
          <w:rFonts w:ascii="宋体" w:hAnsi="宋体"/>
          <w:color w:val="auto"/>
          <w:sz w:val="24"/>
          <w:szCs w:val="24"/>
        </w:rPr>
        <w:t>交付给</w:t>
      </w:r>
      <w:r>
        <w:rPr>
          <w:rFonts w:hint="eastAsia" w:ascii="宋体" w:hAnsi="宋体"/>
          <w:color w:val="auto"/>
          <w:sz w:val="24"/>
          <w:szCs w:val="24"/>
        </w:rPr>
        <w:t>买受人</w:t>
      </w:r>
      <w:r>
        <w:rPr>
          <w:rFonts w:ascii="宋体" w:hAnsi="宋体"/>
          <w:color w:val="auto"/>
          <w:sz w:val="24"/>
          <w:szCs w:val="24"/>
        </w:rPr>
        <w:t>的期限。</w:t>
      </w:r>
    </w:p>
    <w:p w14:paraId="4DED49B3">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6、物资的包装和运输、安装：</w:t>
      </w:r>
    </w:p>
    <w:p w14:paraId="69A472F1">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（1）包装：行业标准。</w:t>
      </w:r>
    </w:p>
    <w:p w14:paraId="7D5C9D8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（2）运输方式：由出卖人自行确定</w:t>
      </w:r>
    </w:p>
    <w:p w14:paraId="5D101F2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（3）运输责任：出卖人负责将货物送达买受人指定地点。</w:t>
      </w:r>
    </w:p>
    <w:p w14:paraId="62947C3F">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（4）运杂费由出卖人承担。</w:t>
      </w:r>
    </w:p>
    <w:p w14:paraId="5D3B3D9F">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（5）安装：出卖人按技术要求完成。</w:t>
      </w:r>
    </w:p>
    <w:p w14:paraId="6D32CA43">
      <w:pPr>
        <w:adjustRightInd w:val="0"/>
        <w:spacing w:line="360" w:lineRule="auto"/>
        <w:ind w:firstLine="480" w:firstLineChars="200"/>
        <w:jc w:val="left"/>
        <w:textAlignment w:val="baseline"/>
        <w:rPr>
          <w:rFonts w:hint="eastAsia" w:ascii="宋体" w:hAnsi="宋体"/>
          <w:color w:val="auto"/>
          <w:sz w:val="24"/>
        </w:rPr>
      </w:pPr>
      <w:r>
        <w:rPr>
          <w:rFonts w:ascii="宋体" w:hAnsi="宋体"/>
          <w:color w:val="auto"/>
          <w:sz w:val="24"/>
        </w:rPr>
        <w:t>7</w:t>
      </w:r>
      <w:r>
        <w:rPr>
          <w:rFonts w:hint="eastAsia" w:ascii="宋体" w:hAnsi="宋体"/>
          <w:color w:val="auto"/>
          <w:sz w:val="24"/>
        </w:rPr>
        <w:t>、质量保证</w:t>
      </w:r>
    </w:p>
    <w:p w14:paraId="29A9E87B">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出卖人提供的所有物资，应有完善的质量检验检测报告和质量保证体系，产品符合国家标准或行业标准。</w:t>
      </w:r>
    </w:p>
    <w:p w14:paraId="0DA02B42">
      <w:pPr>
        <w:spacing w:line="360" w:lineRule="auto"/>
        <w:ind w:firstLine="640" w:firstLineChars="200"/>
        <w:jc w:val="center"/>
        <w:rPr>
          <w:rFonts w:ascii="宋体" w:hAnsi="宋体"/>
          <w:color w:val="auto"/>
          <w:sz w:val="32"/>
          <w:szCs w:val="32"/>
        </w:rPr>
      </w:pPr>
    </w:p>
    <w:p w14:paraId="3B2AC6FA">
      <w:pPr>
        <w:spacing w:line="360" w:lineRule="auto"/>
        <w:ind w:firstLine="640" w:firstLineChars="200"/>
        <w:jc w:val="center"/>
        <w:rPr>
          <w:rFonts w:ascii="宋体" w:hAnsi="宋体"/>
          <w:color w:val="auto"/>
          <w:sz w:val="32"/>
          <w:szCs w:val="32"/>
        </w:rPr>
      </w:pPr>
    </w:p>
    <w:p w14:paraId="7FEBE698">
      <w:pPr>
        <w:spacing w:line="360" w:lineRule="auto"/>
        <w:rPr>
          <w:rFonts w:hint="eastAsia" w:ascii="宋体" w:hAnsi="宋体"/>
          <w:color w:val="auto"/>
          <w:sz w:val="32"/>
          <w:szCs w:val="32"/>
        </w:rPr>
      </w:pPr>
    </w:p>
    <w:p w14:paraId="4CC8B2C1">
      <w:pPr>
        <w:spacing w:line="360" w:lineRule="auto"/>
        <w:ind w:firstLine="640" w:firstLineChars="200"/>
        <w:jc w:val="center"/>
        <w:rPr>
          <w:rFonts w:hint="eastAsia" w:ascii="宋体" w:hAnsi="宋体"/>
          <w:color w:val="auto"/>
          <w:sz w:val="32"/>
          <w:szCs w:val="32"/>
        </w:rPr>
      </w:pPr>
    </w:p>
    <w:p w14:paraId="3C27BD85">
      <w:pPr>
        <w:spacing w:line="360" w:lineRule="auto"/>
        <w:rPr>
          <w:rFonts w:ascii="宋体" w:hAnsi="宋体"/>
          <w:b/>
          <w:bCs/>
          <w:color w:val="auto"/>
          <w:sz w:val="32"/>
          <w:szCs w:val="32"/>
        </w:rPr>
      </w:pPr>
    </w:p>
    <w:p w14:paraId="79AAA039">
      <w:pPr>
        <w:pStyle w:val="4"/>
        <w:rPr>
          <w:color w:val="auto"/>
        </w:rPr>
      </w:pPr>
    </w:p>
    <w:p w14:paraId="46C0A619">
      <w:pPr>
        <w:rPr>
          <w:color w:val="auto"/>
        </w:rPr>
      </w:pPr>
    </w:p>
    <w:p w14:paraId="1E44DDFF">
      <w:pPr>
        <w:pStyle w:val="4"/>
        <w:rPr>
          <w:color w:val="auto"/>
        </w:rPr>
      </w:pPr>
    </w:p>
    <w:p w14:paraId="14D7440E">
      <w:pPr>
        <w:rPr>
          <w:color w:val="auto"/>
        </w:rPr>
      </w:pPr>
    </w:p>
    <w:p w14:paraId="59F9A488">
      <w:pPr>
        <w:pStyle w:val="4"/>
        <w:rPr>
          <w:color w:val="auto"/>
        </w:rPr>
      </w:pPr>
    </w:p>
    <w:p w14:paraId="245D1387">
      <w:pPr>
        <w:rPr>
          <w:color w:val="auto"/>
        </w:rPr>
      </w:pPr>
    </w:p>
    <w:p w14:paraId="6581877A">
      <w:pPr>
        <w:pStyle w:val="4"/>
        <w:rPr>
          <w:color w:val="auto"/>
        </w:rPr>
      </w:pPr>
    </w:p>
    <w:p w14:paraId="70CD957E">
      <w:pPr>
        <w:rPr>
          <w:color w:val="auto"/>
        </w:rPr>
      </w:pPr>
    </w:p>
    <w:p w14:paraId="695E372A">
      <w:pPr>
        <w:pStyle w:val="4"/>
        <w:rPr>
          <w:color w:val="auto"/>
        </w:rPr>
      </w:pPr>
    </w:p>
    <w:p w14:paraId="3D898144">
      <w:pPr>
        <w:rPr>
          <w:color w:val="auto"/>
        </w:rPr>
      </w:pPr>
    </w:p>
    <w:p w14:paraId="2328C85B">
      <w:pPr>
        <w:pStyle w:val="4"/>
        <w:rPr>
          <w:color w:val="auto"/>
        </w:rPr>
      </w:pPr>
    </w:p>
    <w:p w14:paraId="5540998C">
      <w:pPr>
        <w:rPr>
          <w:rFonts w:hint="eastAsia"/>
          <w:color w:val="auto"/>
        </w:rPr>
      </w:pPr>
    </w:p>
    <w:p w14:paraId="7C134AE3">
      <w:pPr>
        <w:spacing w:line="360" w:lineRule="auto"/>
        <w:ind w:firstLine="3534" w:firstLineChars="1100"/>
        <w:rPr>
          <w:rFonts w:ascii="宋体" w:hAnsi="宋体"/>
          <w:b/>
          <w:color w:val="auto"/>
          <w:sz w:val="32"/>
          <w:szCs w:val="32"/>
        </w:rPr>
      </w:pPr>
    </w:p>
    <w:p w14:paraId="580DBD9B">
      <w:pPr>
        <w:spacing w:line="360" w:lineRule="auto"/>
        <w:ind w:firstLine="3534" w:firstLineChars="1100"/>
        <w:rPr>
          <w:rFonts w:hint="eastAsia" w:ascii="宋体" w:hAnsi="宋体" w:cs="仿宋_GB2312"/>
          <w:b/>
          <w:color w:val="auto"/>
          <w:sz w:val="32"/>
          <w:szCs w:val="32"/>
        </w:rPr>
      </w:pPr>
      <w:r>
        <w:rPr>
          <w:rFonts w:hint="eastAsia" w:ascii="宋体" w:hAnsi="宋体"/>
          <w:b/>
          <w:color w:val="auto"/>
          <w:sz w:val="32"/>
          <w:szCs w:val="32"/>
        </w:rPr>
        <w:t>第三部分 技术要求</w:t>
      </w:r>
    </w:p>
    <w:p w14:paraId="0D060FFE">
      <w:pPr>
        <w:tabs>
          <w:tab w:val="left" w:pos="426"/>
          <w:tab w:val="left" w:pos="993"/>
          <w:tab w:val="left" w:pos="1985"/>
          <w:tab w:val="left" w:pos="5670"/>
          <w:tab w:val="left" w:pos="7088"/>
        </w:tabs>
        <w:spacing w:line="360" w:lineRule="auto"/>
        <w:rPr>
          <w:rFonts w:hint="eastAsia" w:ascii="宋体" w:hAnsi="宋体"/>
          <w:b/>
          <w:color w:val="auto"/>
          <w:sz w:val="24"/>
          <w:szCs w:val="20"/>
        </w:rPr>
      </w:pPr>
    </w:p>
    <w:p w14:paraId="03855C9B">
      <w:pPr>
        <w:tabs>
          <w:tab w:val="left" w:pos="426"/>
          <w:tab w:val="left" w:pos="993"/>
          <w:tab w:val="left" w:pos="1985"/>
          <w:tab w:val="left" w:pos="5670"/>
          <w:tab w:val="left" w:pos="7088"/>
        </w:tabs>
        <w:spacing w:line="360" w:lineRule="auto"/>
        <w:rPr>
          <w:rFonts w:hint="eastAsia" w:ascii="宋体" w:hAnsi="宋体"/>
          <w:b/>
          <w:color w:val="auto"/>
          <w:sz w:val="24"/>
          <w:szCs w:val="20"/>
        </w:rPr>
      </w:pPr>
    </w:p>
    <w:p w14:paraId="428E516C">
      <w:pPr>
        <w:tabs>
          <w:tab w:val="left" w:pos="426"/>
          <w:tab w:val="left" w:pos="993"/>
          <w:tab w:val="left" w:pos="1985"/>
          <w:tab w:val="left" w:pos="5670"/>
          <w:tab w:val="left" w:pos="7088"/>
        </w:tabs>
        <w:spacing w:line="360" w:lineRule="auto"/>
        <w:rPr>
          <w:rFonts w:hint="eastAsia" w:ascii="宋体" w:hAnsi="宋体"/>
          <w:b/>
          <w:color w:val="auto"/>
          <w:sz w:val="24"/>
          <w:szCs w:val="20"/>
        </w:rPr>
      </w:pPr>
    </w:p>
    <w:p w14:paraId="433F02B6">
      <w:pPr>
        <w:jc w:val="center"/>
        <w:rPr>
          <w:rFonts w:hint="eastAsia"/>
          <w:b/>
          <w:bCs/>
          <w:color w:val="auto"/>
          <w:sz w:val="32"/>
          <w:szCs w:val="32"/>
        </w:rPr>
      </w:pPr>
      <w:bookmarkStart w:id="1" w:name="_Hlk119505684"/>
      <w:r>
        <w:rPr>
          <w:b/>
          <w:bCs/>
          <w:color w:val="auto"/>
          <w:sz w:val="32"/>
          <w:szCs w:val="32"/>
        </w:rPr>
        <w:t>山西煤机装备制造有限责任公司</w:t>
      </w:r>
      <w:r>
        <w:rPr>
          <w:rFonts w:hint="eastAsia"/>
          <w:b/>
          <w:bCs/>
          <w:color w:val="auto"/>
          <w:sz w:val="32"/>
          <w:szCs w:val="32"/>
          <w:lang w:eastAsia="zh-CN"/>
        </w:rPr>
        <w:t>办公楼</w:t>
      </w:r>
      <w:r>
        <w:rPr>
          <w:rFonts w:hint="eastAsia"/>
          <w:b/>
          <w:bCs/>
          <w:color w:val="auto"/>
          <w:sz w:val="32"/>
          <w:szCs w:val="32"/>
        </w:rPr>
        <w:t>家具</w:t>
      </w:r>
      <w:r>
        <w:rPr>
          <w:rFonts w:hint="eastAsia"/>
          <w:b/>
          <w:bCs/>
          <w:color w:val="auto"/>
          <w:sz w:val="32"/>
          <w:szCs w:val="32"/>
          <w:lang w:val="en-US" w:eastAsia="zh-CN"/>
        </w:rPr>
        <w:t>采购</w:t>
      </w:r>
      <w:r>
        <w:rPr>
          <w:rFonts w:hint="eastAsia"/>
          <w:b/>
          <w:bCs/>
          <w:color w:val="auto"/>
          <w:sz w:val="32"/>
          <w:szCs w:val="32"/>
        </w:rPr>
        <w:t>项目</w:t>
      </w:r>
    </w:p>
    <w:p w14:paraId="345D922B">
      <w:pPr>
        <w:jc w:val="center"/>
        <w:rPr>
          <w:rFonts w:hint="eastAsia"/>
          <w:b/>
          <w:bCs/>
          <w:color w:val="auto"/>
          <w:sz w:val="32"/>
          <w:szCs w:val="32"/>
        </w:rPr>
      </w:pPr>
      <w:r>
        <w:rPr>
          <w:rFonts w:hint="eastAsia"/>
          <w:b/>
          <w:bCs/>
          <w:color w:val="auto"/>
          <w:sz w:val="32"/>
          <w:szCs w:val="32"/>
        </w:rPr>
        <w:t xml:space="preserve">质量技术要求 </w:t>
      </w:r>
    </w:p>
    <w:bookmarkEnd w:id="1"/>
    <w:p w14:paraId="02E2A88D">
      <w:pPr>
        <w:spacing w:line="480" w:lineRule="exact"/>
        <w:ind w:left="480"/>
        <w:jc w:val="center"/>
        <w:rPr>
          <w:rFonts w:hint="eastAsia" w:ascii="宋体"/>
          <w:color w:val="auto"/>
          <w:sz w:val="24"/>
          <w:szCs w:val="20"/>
        </w:rPr>
      </w:pPr>
    </w:p>
    <w:p w14:paraId="36B3C708">
      <w:pPr>
        <w:spacing w:line="480" w:lineRule="exact"/>
        <w:ind w:left="480"/>
        <w:rPr>
          <w:rFonts w:hint="eastAsia" w:ascii="宋体"/>
          <w:color w:val="auto"/>
          <w:sz w:val="24"/>
          <w:szCs w:val="20"/>
        </w:rPr>
      </w:pPr>
    </w:p>
    <w:p w14:paraId="01399DAD">
      <w:pPr>
        <w:spacing w:line="480" w:lineRule="exact"/>
        <w:ind w:left="480"/>
        <w:rPr>
          <w:rFonts w:hint="eastAsia" w:ascii="宋体"/>
          <w:color w:val="auto"/>
          <w:sz w:val="24"/>
          <w:szCs w:val="20"/>
        </w:rPr>
      </w:pPr>
      <w:r>
        <w:rPr>
          <w:rFonts w:hint="eastAsia" w:ascii="宋体"/>
          <w:color w:val="auto"/>
          <w:sz w:val="24"/>
          <w:szCs w:val="20"/>
        </w:rPr>
        <w:t xml:space="preserve">   见附件</w:t>
      </w:r>
    </w:p>
    <w:p w14:paraId="68079FE6">
      <w:pPr>
        <w:pStyle w:val="4"/>
        <w:rPr>
          <w:rFonts w:hint="eastAsia"/>
          <w:color w:val="auto"/>
        </w:rPr>
      </w:pPr>
    </w:p>
    <w:p w14:paraId="158540DD">
      <w:pPr>
        <w:rPr>
          <w:rFonts w:hint="eastAsia"/>
          <w:color w:val="auto"/>
        </w:rPr>
      </w:pPr>
    </w:p>
    <w:p w14:paraId="57983240">
      <w:pPr>
        <w:pStyle w:val="4"/>
        <w:rPr>
          <w:rFonts w:hint="eastAsia"/>
          <w:color w:val="auto"/>
        </w:rPr>
      </w:pPr>
    </w:p>
    <w:p w14:paraId="07B79465">
      <w:pPr>
        <w:rPr>
          <w:rFonts w:hint="eastAsia"/>
          <w:color w:val="auto"/>
        </w:rPr>
      </w:pPr>
    </w:p>
    <w:p w14:paraId="4AA85C87">
      <w:pPr>
        <w:pStyle w:val="4"/>
        <w:rPr>
          <w:rFonts w:hint="eastAsia"/>
          <w:color w:val="auto"/>
        </w:rPr>
      </w:pPr>
    </w:p>
    <w:p w14:paraId="363CF847">
      <w:pPr>
        <w:rPr>
          <w:rFonts w:hint="eastAsia"/>
          <w:color w:val="auto"/>
        </w:rPr>
      </w:pPr>
    </w:p>
    <w:p w14:paraId="2B6F5F12">
      <w:pPr>
        <w:pStyle w:val="4"/>
        <w:rPr>
          <w:rFonts w:hint="eastAsia"/>
          <w:color w:val="auto"/>
        </w:rPr>
      </w:pPr>
    </w:p>
    <w:p w14:paraId="581487A6">
      <w:pPr>
        <w:rPr>
          <w:rFonts w:hint="eastAsia"/>
          <w:color w:val="auto"/>
        </w:rPr>
      </w:pPr>
    </w:p>
    <w:p w14:paraId="72E38C12">
      <w:pPr>
        <w:pStyle w:val="4"/>
        <w:rPr>
          <w:rFonts w:hint="eastAsia"/>
          <w:color w:val="auto"/>
        </w:rPr>
      </w:pPr>
    </w:p>
    <w:p w14:paraId="0BAA1EB3">
      <w:pPr>
        <w:rPr>
          <w:rFonts w:hint="eastAsia"/>
          <w:color w:val="auto"/>
        </w:rPr>
      </w:pPr>
    </w:p>
    <w:p w14:paraId="0C8AAC19">
      <w:pPr>
        <w:pStyle w:val="4"/>
        <w:rPr>
          <w:rFonts w:hint="eastAsia"/>
          <w:color w:val="auto"/>
        </w:rPr>
      </w:pPr>
    </w:p>
    <w:p w14:paraId="66C50565">
      <w:pPr>
        <w:rPr>
          <w:rFonts w:hint="eastAsia"/>
          <w:color w:val="auto"/>
        </w:rPr>
      </w:pPr>
    </w:p>
    <w:p w14:paraId="23A5FD56">
      <w:pPr>
        <w:pStyle w:val="4"/>
        <w:rPr>
          <w:rFonts w:hint="eastAsia"/>
          <w:color w:val="auto"/>
        </w:rPr>
      </w:pPr>
    </w:p>
    <w:p w14:paraId="463C3FA1">
      <w:pPr>
        <w:rPr>
          <w:rFonts w:hint="eastAsia"/>
          <w:color w:val="auto"/>
        </w:rPr>
      </w:pPr>
    </w:p>
    <w:p w14:paraId="3CF120C1">
      <w:pPr>
        <w:pStyle w:val="4"/>
        <w:rPr>
          <w:rFonts w:hint="eastAsia"/>
          <w:color w:val="auto"/>
        </w:rPr>
      </w:pPr>
    </w:p>
    <w:p w14:paraId="3F779A19">
      <w:pPr>
        <w:rPr>
          <w:rFonts w:hint="eastAsia"/>
          <w:color w:val="auto"/>
        </w:rPr>
      </w:pPr>
    </w:p>
    <w:p w14:paraId="4D6C50E1">
      <w:pPr>
        <w:rPr>
          <w:rFonts w:hint="eastAsia"/>
          <w:color w:val="auto"/>
        </w:rPr>
      </w:pPr>
    </w:p>
    <w:p w14:paraId="1EB1CC9D">
      <w:pPr>
        <w:rPr>
          <w:rFonts w:hint="eastAsia"/>
          <w:color w:val="auto"/>
        </w:rPr>
      </w:pPr>
    </w:p>
    <w:p w14:paraId="1751A8FB">
      <w:pPr>
        <w:rPr>
          <w:rFonts w:hint="eastAsia"/>
          <w:color w:val="auto"/>
        </w:rPr>
      </w:pPr>
    </w:p>
    <w:p w14:paraId="383AA511">
      <w:pPr>
        <w:rPr>
          <w:rFonts w:hint="eastAsia"/>
          <w:color w:val="auto"/>
        </w:rPr>
      </w:pPr>
    </w:p>
    <w:p w14:paraId="40EF1BEF">
      <w:pPr>
        <w:rPr>
          <w:rFonts w:hint="eastAsia"/>
          <w:color w:val="auto"/>
        </w:rPr>
      </w:pPr>
    </w:p>
    <w:p w14:paraId="572C2276">
      <w:pPr>
        <w:rPr>
          <w:rFonts w:hint="eastAsia"/>
          <w:color w:val="auto"/>
        </w:rPr>
      </w:pPr>
    </w:p>
    <w:p w14:paraId="0B0B27B9">
      <w:pPr>
        <w:rPr>
          <w:rFonts w:hint="eastAsia"/>
          <w:color w:val="auto"/>
        </w:rPr>
      </w:pPr>
    </w:p>
    <w:p w14:paraId="066BCB64">
      <w:pPr>
        <w:rPr>
          <w:rFonts w:hint="eastAsia"/>
          <w:color w:val="auto"/>
        </w:rPr>
      </w:pPr>
    </w:p>
    <w:p w14:paraId="1C437D1E">
      <w:pPr>
        <w:rPr>
          <w:rFonts w:hint="eastAsia"/>
          <w:color w:val="auto"/>
        </w:rPr>
      </w:pPr>
    </w:p>
    <w:p w14:paraId="77ADBF08">
      <w:pPr>
        <w:rPr>
          <w:rFonts w:hint="eastAsia"/>
          <w:color w:val="auto"/>
        </w:rPr>
      </w:pPr>
    </w:p>
    <w:p w14:paraId="083E15BC">
      <w:pPr>
        <w:rPr>
          <w:rFonts w:hint="eastAsia"/>
          <w:color w:val="auto"/>
        </w:rPr>
      </w:pPr>
    </w:p>
    <w:p w14:paraId="74A70DFA">
      <w:pPr>
        <w:rPr>
          <w:rFonts w:hint="eastAsia"/>
          <w:color w:val="auto"/>
        </w:rPr>
      </w:pPr>
    </w:p>
    <w:p w14:paraId="363706AB">
      <w:pPr>
        <w:pStyle w:val="4"/>
        <w:rPr>
          <w:rFonts w:hint="eastAsia"/>
          <w:color w:val="auto"/>
        </w:rPr>
      </w:pPr>
    </w:p>
    <w:p w14:paraId="1B90BD38">
      <w:pPr>
        <w:ind w:firstLine="2891" w:firstLineChars="900"/>
        <w:rPr>
          <w:rFonts w:hint="eastAsia" w:ascii="宋体" w:hAnsi="宋体" w:cs="仿宋_GB2312"/>
          <w:b/>
          <w:color w:val="auto"/>
          <w:sz w:val="32"/>
          <w:szCs w:val="32"/>
        </w:rPr>
      </w:pPr>
      <w:r>
        <w:rPr>
          <w:rFonts w:hint="eastAsia" w:ascii="宋体" w:hAnsi="宋体" w:cs="仿宋_GB2312"/>
          <w:b/>
          <w:color w:val="auto"/>
          <w:sz w:val="32"/>
          <w:szCs w:val="32"/>
        </w:rPr>
        <w:t>第四部分 谈判文件格式</w:t>
      </w:r>
    </w:p>
    <w:p w14:paraId="7074FC50">
      <w:pPr>
        <w:pStyle w:val="17"/>
        <w:widowControl w:val="0"/>
        <w:adjustRightInd w:val="0"/>
        <w:snapToGrid w:val="0"/>
        <w:spacing w:before="0" w:beforeAutospacing="0" w:after="0" w:afterAutospacing="0" w:line="360" w:lineRule="auto"/>
        <w:rPr>
          <w:rFonts w:cs="仿宋_GB2312"/>
          <w:b/>
          <w:color w:val="auto"/>
          <w:sz w:val="24"/>
          <w:szCs w:val="24"/>
        </w:rPr>
      </w:pPr>
      <w:r>
        <w:rPr>
          <w:rFonts w:cs="仿宋_GB2312"/>
          <w:b/>
          <w:color w:val="auto"/>
          <w:sz w:val="24"/>
          <w:szCs w:val="24"/>
        </w:rPr>
        <w:t xml:space="preserve">一、 </w:t>
      </w:r>
      <w:r>
        <w:rPr>
          <w:rFonts w:hint="eastAsia" w:cs="仿宋_GB2312"/>
          <w:b/>
          <w:color w:val="auto"/>
          <w:sz w:val="24"/>
          <w:szCs w:val="24"/>
        </w:rPr>
        <w:t>谈判</w:t>
      </w:r>
      <w:r>
        <w:rPr>
          <w:rFonts w:cs="仿宋_GB2312"/>
          <w:b/>
          <w:color w:val="auto"/>
          <w:sz w:val="24"/>
          <w:szCs w:val="24"/>
        </w:rPr>
        <w:t>书封面格式 </w:t>
      </w:r>
    </w:p>
    <w:tbl>
      <w:tblPr>
        <w:tblStyle w:val="19"/>
        <w:tblW w:w="942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21"/>
      </w:tblGrid>
      <w:tr w14:paraId="5DCE20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772" w:hRule="atLeast"/>
          <w:tblCellSpacing w:w="0" w:type="dxa"/>
          <w:jc w:val="center"/>
        </w:trPr>
        <w:tc>
          <w:tcPr>
            <w:tcW w:w="9421" w:type="dxa"/>
            <w:tcBorders>
              <w:top w:val="outset" w:color="auto" w:sz="6" w:space="0"/>
              <w:left w:val="outset" w:color="auto" w:sz="6" w:space="0"/>
              <w:bottom w:val="outset" w:color="auto" w:sz="6" w:space="0"/>
              <w:right w:val="outset" w:color="auto" w:sz="6" w:space="0"/>
            </w:tcBorders>
            <w:noWrap w:val="0"/>
            <w:vAlign w:val="center"/>
          </w:tcPr>
          <w:p w14:paraId="0CDE1146">
            <w:pPr>
              <w:pStyle w:val="17"/>
              <w:widowControl w:val="0"/>
              <w:adjustRightInd w:val="0"/>
              <w:snapToGrid w:val="0"/>
              <w:spacing w:before="0" w:beforeAutospacing="0" w:after="0" w:afterAutospacing="0" w:line="360" w:lineRule="auto"/>
              <w:jc w:val="center"/>
              <w:rPr>
                <w:rFonts w:hint="eastAsia"/>
                <w:bCs/>
                <w:color w:val="auto"/>
                <w:sz w:val="28"/>
                <w:szCs w:val="28"/>
              </w:rPr>
            </w:pPr>
            <w:r>
              <w:rPr>
                <w:b/>
                <w:color w:val="auto"/>
                <w:sz w:val="28"/>
                <w:szCs w:val="28"/>
              </w:rPr>
              <w:t> </w:t>
            </w:r>
            <w:r>
              <w:rPr>
                <w:bCs/>
                <w:color w:val="auto"/>
                <w:sz w:val="28"/>
                <w:szCs w:val="28"/>
              </w:rPr>
              <w:t>投</w:t>
            </w:r>
            <w:r>
              <w:rPr>
                <w:rFonts w:hint="eastAsia"/>
                <w:bCs/>
                <w:color w:val="auto"/>
                <w:sz w:val="28"/>
                <w:szCs w:val="28"/>
              </w:rPr>
              <w:t xml:space="preserve"> </w:t>
            </w:r>
            <w:r>
              <w:rPr>
                <w:bCs/>
                <w:color w:val="auto"/>
                <w:sz w:val="28"/>
                <w:szCs w:val="28"/>
              </w:rPr>
              <w:t xml:space="preserve"> 标 </w:t>
            </w:r>
            <w:r>
              <w:rPr>
                <w:rFonts w:hint="eastAsia"/>
                <w:bCs/>
                <w:color w:val="auto"/>
                <w:sz w:val="28"/>
                <w:szCs w:val="28"/>
              </w:rPr>
              <w:t xml:space="preserve"> </w:t>
            </w:r>
            <w:r>
              <w:rPr>
                <w:bCs/>
                <w:color w:val="auto"/>
                <w:sz w:val="28"/>
                <w:szCs w:val="28"/>
              </w:rPr>
              <w:t>书</w:t>
            </w:r>
          </w:p>
          <w:p w14:paraId="5D6AB25B">
            <w:pPr>
              <w:pStyle w:val="17"/>
              <w:widowControl w:val="0"/>
              <w:adjustRightInd w:val="0"/>
              <w:snapToGrid w:val="0"/>
              <w:spacing w:before="0" w:beforeAutospacing="0" w:after="0" w:afterAutospacing="0" w:line="360" w:lineRule="auto"/>
              <w:jc w:val="center"/>
              <w:rPr>
                <w:b/>
                <w:color w:val="auto"/>
                <w:sz w:val="28"/>
                <w:szCs w:val="28"/>
              </w:rPr>
            </w:pPr>
          </w:p>
          <w:p w14:paraId="05ACAD3E">
            <w:pPr>
              <w:pStyle w:val="17"/>
              <w:widowControl w:val="0"/>
              <w:adjustRightInd w:val="0"/>
              <w:snapToGrid w:val="0"/>
              <w:spacing w:before="0" w:beforeAutospacing="0" w:after="0" w:afterAutospacing="0" w:line="360" w:lineRule="auto"/>
              <w:jc w:val="center"/>
              <w:rPr>
                <w:rFonts w:hint="eastAsia"/>
                <w:color w:val="auto"/>
                <w:sz w:val="24"/>
                <w:szCs w:val="24"/>
              </w:rPr>
            </w:pPr>
            <w:r>
              <w:rPr>
                <w:rFonts w:hint="eastAsia"/>
                <w:color w:val="auto"/>
                <w:sz w:val="24"/>
                <w:szCs w:val="24"/>
              </w:rPr>
              <w:t>（正本）或（副本）</w:t>
            </w:r>
          </w:p>
          <w:p w14:paraId="3A353B2B">
            <w:pPr>
              <w:pStyle w:val="17"/>
              <w:widowControl w:val="0"/>
              <w:adjustRightInd w:val="0"/>
              <w:snapToGrid w:val="0"/>
              <w:spacing w:before="0" w:beforeAutospacing="0" w:after="0" w:afterAutospacing="0" w:line="360" w:lineRule="auto"/>
              <w:rPr>
                <w:rFonts w:hint="eastAsia"/>
                <w:color w:val="auto"/>
                <w:sz w:val="24"/>
                <w:szCs w:val="24"/>
              </w:rPr>
            </w:pPr>
          </w:p>
          <w:p w14:paraId="30571DD5">
            <w:pPr>
              <w:pStyle w:val="17"/>
              <w:widowControl w:val="0"/>
              <w:adjustRightInd w:val="0"/>
              <w:snapToGrid w:val="0"/>
              <w:spacing w:before="0" w:beforeAutospacing="0" w:after="0" w:afterAutospacing="0" w:line="360" w:lineRule="auto"/>
              <w:rPr>
                <w:rFonts w:hint="eastAsia"/>
                <w:color w:val="auto"/>
                <w:sz w:val="24"/>
                <w:szCs w:val="24"/>
              </w:rPr>
            </w:pPr>
          </w:p>
          <w:p w14:paraId="49D4152B">
            <w:pPr>
              <w:pStyle w:val="17"/>
              <w:widowControl w:val="0"/>
              <w:adjustRightInd w:val="0"/>
              <w:snapToGrid w:val="0"/>
              <w:spacing w:before="0" w:beforeAutospacing="0" w:after="0" w:afterAutospacing="0" w:line="360" w:lineRule="auto"/>
              <w:rPr>
                <w:rFonts w:hint="eastAsia"/>
                <w:color w:val="auto"/>
                <w:sz w:val="24"/>
                <w:szCs w:val="24"/>
              </w:rPr>
            </w:pPr>
          </w:p>
          <w:p w14:paraId="3B644F21">
            <w:pPr>
              <w:pStyle w:val="17"/>
              <w:widowControl w:val="0"/>
              <w:adjustRightInd w:val="0"/>
              <w:snapToGrid w:val="0"/>
              <w:spacing w:before="0" w:beforeAutospacing="0" w:after="0" w:afterAutospacing="0" w:line="360" w:lineRule="auto"/>
              <w:rPr>
                <w:rFonts w:hint="eastAsia"/>
                <w:color w:val="auto"/>
                <w:sz w:val="24"/>
                <w:szCs w:val="24"/>
              </w:rPr>
            </w:pPr>
          </w:p>
          <w:p w14:paraId="3E102323">
            <w:pPr>
              <w:pStyle w:val="17"/>
              <w:widowControl w:val="0"/>
              <w:adjustRightInd w:val="0"/>
              <w:snapToGrid w:val="0"/>
              <w:spacing w:before="0" w:beforeAutospacing="0" w:after="0" w:afterAutospacing="0" w:line="360" w:lineRule="auto"/>
              <w:rPr>
                <w:rFonts w:hint="eastAsia"/>
                <w:color w:val="auto"/>
                <w:sz w:val="24"/>
                <w:szCs w:val="24"/>
              </w:rPr>
            </w:pPr>
          </w:p>
          <w:p w14:paraId="4EB70659">
            <w:pPr>
              <w:pStyle w:val="17"/>
              <w:widowControl w:val="0"/>
              <w:adjustRightInd w:val="0"/>
              <w:snapToGrid w:val="0"/>
              <w:spacing w:before="0" w:beforeAutospacing="0" w:after="0" w:afterAutospacing="0" w:line="360" w:lineRule="auto"/>
              <w:rPr>
                <w:rFonts w:hint="eastAsia"/>
                <w:color w:val="auto"/>
                <w:sz w:val="24"/>
                <w:szCs w:val="24"/>
              </w:rPr>
            </w:pPr>
          </w:p>
          <w:p w14:paraId="207EA9BF">
            <w:pPr>
              <w:pStyle w:val="17"/>
              <w:widowControl w:val="0"/>
              <w:adjustRightInd w:val="0"/>
              <w:snapToGrid w:val="0"/>
              <w:spacing w:before="0" w:beforeAutospacing="0" w:after="0" w:afterAutospacing="0" w:line="360" w:lineRule="auto"/>
              <w:rPr>
                <w:rFonts w:hint="eastAsia"/>
                <w:color w:val="auto"/>
                <w:sz w:val="24"/>
                <w:szCs w:val="24"/>
              </w:rPr>
            </w:pPr>
          </w:p>
          <w:p w14:paraId="220E82D8">
            <w:pPr>
              <w:pStyle w:val="17"/>
              <w:widowControl w:val="0"/>
              <w:adjustRightInd w:val="0"/>
              <w:snapToGrid w:val="0"/>
              <w:spacing w:before="0" w:beforeAutospacing="0" w:after="0" w:afterAutospacing="0" w:line="360" w:lineRule="auto"/>
              <w:rPr>
                <w:rFonts w:hint="eastAsia"/>
                <w:color w:val="auto"/>
                <w:sz w:val="24"/>
                <w:szCs w:val="24"/>
              </w:rPr>
            </w:pPr>
          </w:p>
          <w:p w14:paraId="68FE8B80">
            <w:pPr>
              <w:pStyle w:val="17"/>
              <w:widowControl w:val="0"/>
              <w:adjustRightInd w:val="0"/>
              <w:snapToGrid w:val="0"/>
              <w:spacing w:before="0" w:beforeAutospacing="0" w:after="0" w:afterAutospacing="0" w:line="360" w:lineRule="auto"/>
              <w:rPr>
                <w:rFonts w:hint="eastAsia"/>
                <w:color w:val="auto"/>
                <w:sz w:val="24"/>
                <w:szCs w:val="24"/>
              </w:rPr>
            </w:pPr>
          </w:p>
          <w:p w14:paraId="4201935B">
            <w:pPr>
              <w:pStyle w:val="17"/>
              <w:widowControl w:val="0"/>
              <w:adjustRightInd w:val="0"/>
              <w:snapToGrid w:val="0"/>
              <w:spacing w:before="0" w:beforeAutospacing="0" w:after="0" w:afterAutospacing="0" w:line="360" w:lineRule="auto"/>
              <w:ind w:left="2035" w:leftChars="969"/>
              <w:rPr>
                <w:rFonts w:hint="eastAsia"/>
                <w:bCs/>
                <w:color w:val="auto"/>
                <w:sz w:val="24"/>
                <w:szCs w:val="24"/>
                <w:u w:val="single"/>
              </w:rPr>
            </w:pPr>
            <w:r>
              <w:rPr>
                <w:rFonts w:hint="eastAsia"/>
                <w:bCs/>
                <w:color w:val="auto"/>
                <w:sz w:val="24"/>
                <w:szCs w:val="24"/>
              </w:rPr>
              <w:t>项目名称：</w:t>
            </w:r>
            <w:r>
              <w:rPr>
                <w:rFonts w:hint="eastAsia"/>
                <w:bCs/>
                <w:color w:val="auto"/>
                <w:sz w:val="24"/>
                <w:szCs w:val="24"/>
                <w:u w:val="single"/>
              </w:rPr>
              <w:t xml:space="preserve">                              </w:t>
            </w:r>
          </w:p>
          <w:p w14:paraId="79813222">
            <w:pPr>
              <w:pStyle w:val="17"/>
              <w:widowControl w:val="0"/>
              <w:adjustRightInd w:val="0"/>
              <w:snapToGrid w:val="0"/>
              <w:spacing w:before="0" w:beforeAutospacing="0" w:after="0" w:afterAutospacing="0" w:line="360" w:lineRule="auto"/>
              <w:ind w:left="2035" w:leftChars="969"/>
              <w:rPr>
                <w:rFonts w:hint="eastAsia"/>
                <w:bCs/>
                <w:color w:val="auto"/>
                <w:sz w:val="24"/>
                <w:szCs w:val="24"/>
                <w:u w:val="single"/>
              </w:rPr>
            </w:pPr>
            <w:r>
              <w:rPr>
                <w:rFonts w:hint="eastAsia"/>
                <w:bCs/>
                <w:color w:val="auto"/>
                <w:sz w:val="24"/>
                <w:szCs w:val="24"/>
              </w:rPr>
              <w:t>投标人授权代表（签字）：</w:t>
            </w:r>
            <w:r>
              <w:rPr>
                <w:rFonts w:hint="eastAsia"/>
                <w:bCs/>
                <w:color w:val="auto"/>
                <w:sz w:val="24"/>
                <w:szCs w:val="24"/>
                <w:u w:val="single"/>
              </w:rPr>
              <w:t xml:space="preserve">                </w:t>
            </w:r>
          </w:p>
          <w:p w14:paraId="355EA038">
            <w:pPr>
              <w:pStyle w:val="17"/>
              <w:widowControl w:val="0"/>
              <w:adjustRightInd w:val="0"/>
              <w:snapToGrid w:val="0"/>
              <w:spacing w:before="0" w:beforeAutospacing="0" w:after="0" w:afterAutospacing="0" w:line="360" w:lineRule="auto"/>
              <w:ind w:left="2035" w:leftChars="969"/>
              <w:rPr>
                <w:rFonts w:hint="eastAsia"/>
                <w:bCs/>
                <w:color w:val="auto"/>
                <w:sz w:val="24"/>
                <w:szCs w:val="24"/>
                <w:u w:val="single"/>
              </w:rPr>
            </w:pPr>
            <w:r>
              <w:rPr>
                <w:rFonts w:hint="eastAsia"/>
                <w:bCs/>
                <w:color w:val="auto"/>
                <w:sz w:val="24"/>
                <w:szCs w:val="24"/>
              </w:rPr>
              <w:t>投标人（盖章）：</w:t>
            </w:r>
            <w:r>
              <w:rPr>
                <w:rFonts w:hint="eastAsia"/>
                <w:bCs/>
                <w:color w:val="auto"/>
                <w:sz w:val="24"/>
                <w:szCs w:val="24"/>
                <w:u w:val="single"/>
              </w:rPr>
              <w:t xml:space="preserve">                        </w:t>
            </w:r>
          </w:p>
          <w:p w14:paraId="06A455F4">
            <w:pPr>
              <w:pStyle w:val="17"/>
              <w:widowControl w:val="0"/>
              <w:adjustRightInd w:val="0"/>
              <w:snapToGrid w:val="0"/>
              <w:spacing w:before="0" w:beforeAutospacing="0" w:after="0" w:afterAutospacing="0" w:line="360" w:lineRule="auto"/>
              <w:ind w:left="2035" w:leftChars="969"/>
              <w:rPr>
                <w:rFonts w:hint="eastAsia"/>
                <w:bCs/>
                <w:color w:val="auto"/>
                <w:sz w:val="24"/>
                <w:szCs w:val="24"/>
                <w:u w:val="single"/>
              </w:rPr>
            </w:pPr>
          </w:p>
          <w:p w14:paraId="0D62B776">
            <w:pPr>
              <w:pStyle w:val="17"/>
              <w:widowControl w:val="0"/>
              <w:adjustRightInd w:val="0"/>
              <w:snapToGrid w:val="0"/>
              <w:spacing w:before="0" w:beforeAutospacing="0" w:after="0" w:afterAutospacing="0" w:line="360" w:lineRule="auto"/>
              <w:ind w:firstLine="4560" w:firstLineChars="1900"/>
              <w:rPr>
                <w:rFonts w:hint="eastAsia"/>
                <w:bCs/>
                <w:color w:val="auto"/>
                <w:sz w:val="24"/>
                <w:szCs w:val="24"/>
              </w:rPr>
            </w:pPr>
            <w:r>
              <w:rPr>
                <w:rFonts w:hint="eastAsia"/>
                <w:bCs/>
                <w:color w:val="auto"/>
                <w:sz w:val="24"/>
                <w:szCs w:val="24"/>
              </w:rPr>
              <w:t>年 　 月　  日</w:t>
            </w:r>
          </w:p>
        </w:tc>
      </w:tr>
    </w:tbl>
    <w:p w14:paraId="52A96D97">
      <w:pPr>
        <w:pStyle w:val="17"/>
        <w:widowControl w:val="0"/>
        <w:adjustRightInd w:val="0"/>
        <w:snapToGrid w:val="0"/>
        <w:spacing w:before="0" w:beforeAutospacing="0" w:after="0" w:afterAutospacing="0" w:line="360" w:lineRule="auto"/>
        <w:rPr>
          <w:rFonts w:cs="仿宋_GB2312"/>
          <w:b/>
          <w:bCs/>
          <w:color w:val="auto"/>
          <w:sz w:val="24"/>
          <w:szCs w:val="24"/>
        </w:rPr>
      </w:pPr>
    </w:p>
    <w:p w14:paraId="38467C41">
      <w:pPr>
        <w:pStyle w:val="17"/>
        <w:widowControl w:val="0"/>
        <w:adjustRightInd w:val="0"/>
        <w:snapToGrid w:val="0"/>
        <w:spacing w:before="0" w:beforeAutospacing="0" w:after="0" w:afterAutospacing="0" w:line="360" w:lineRule="auto"/>
        <w:rPr>
          <w:rFonts w:cs="仿宋_GB2312"/>
          <w:b/>
          <w:bCs/>
          <w:color w:val="auto"/>
          <w:sz w:val="24"/>
          <w:szCs w:val="24"/>
        </w:rPr>
      </w:pPr>
    </w:p>
    <w:p w14:paraId="209EBB02">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26CE9ABD">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4A2A864D">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61C779D0">
      <w:pPr>
        <w:pStyle w:val="17"/>
        <w:widowControl w:val="0"/>
        <w:adjustRightInd w:val="0"/>
        <w:snapToGrid w:val="0"/>
        <w:spacing w:before="0" w:beforeAutospacing="0" w:after="0" w:afterAutospacing="0" w:line="360" w:lineRule="auto"/>
        <w:rPr>
          <w:rFonts w:hint="eastAsia" w:cs="仿宋_GB2312"/>
          <w:b/>
          <w:color w:val="auto"/>
          <w:sz w:val="24"/>
          <w:szCs w:val="24"/>
        </w:rPr>
      </w:pPr>
      <w:r>
        <w:rPr>
          <w:rFonts w:hint="eastAsia" w:cs="仿宋_GB2312"/>
          <w:b/>
          <w:bCs/>
          <w:color w:val="auto"/>
          <w:sz w:val="24"/>
          <w:szCs w:val="24"/>
        </w:rPr>
        <w:t>二、 谈判函格式</w:t>
      </w:r>
    </w:p>
    <w:p w14:paraId="5ACE1DE7">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致:</w:t>
      </w:r>
      <w:r>
        <w:rPr>
          <w:rFonts w:cs="仿宋_GB2312"/>
          <w:color w:val="auto"/>
          <w:sz w:val="24"/>
          <w:szCs w:val="24"/>
        </w:rPr>
        <w:t>山西煤机装备制造有限责任公司</w:t>
      </w:r>
    </w:p>
    <w:p w14:paraId="04FA64C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根据贵公司</w:t>
      </w:r>
      <w:r>
        <w:rPr>
          <w:rFonts w:hint="eastAsia" w:cs="仿宋_GB2312"/>
          <w:color w:val="auto"/>
          <w:sz w:val="24"/>
          <w:szCs w:val="24"/>
          <w:lang w:val="en-US" w:eastAsia="zh-CN"/>
        </w:rPr>
        <w:t>_________</w:t>
      </w:r>
      <w:r>
        <w:rPr>
          <w:rFonts w:hint="eastAsia" w:cs="仿宋_GB2312"/>
          <w:color w:val="auto"/>
          <w:sz w:val="24"/>
          <w:szCs w:val="24"/>
        </w:rPr>
        <w:t>号采购文件,我公司正式授权下述签字人</w:t>
      </w:r>
      <w:r>
        <w:rPr>
          <w:rFonts w:hint="eastAsia" w:cs="仿宋_GB2312"/>
          <w:color w:val="auto"/>
          <w:sz w:val="24"/>
          <w:szCs w:val="24"/>
          <w:u w:val="single"/>
        </w:rPr>
        <w:t xml:space="preserve">            </w:t>
      </w:r>
      <w:r>
        <w:rPr>
          <w:rFonts w:hint="eastAsia" w:cs="仿宋_GB2312"/>
          <w:color w:val="auto"/>
          <w:sz w:val="24"/>
          <w:szCs w:val="24"/>
        </w:rPr>
        <w:t>(姓名和职务)代表投标人</w:t>
      </w:r>
      <w:r>
        <w:rPr>
          <w:rFonts w:hint="eastAsia" w:cs="仿宋_GB2312"/>
          <w:color w:val="auto"/>
          <w:sz w:val="24"/>
          <w:szCs w:val="24"/>
          <w:u w:val="single"/>
        </w:rPr>
        <w:t xml:space="preserve">              </w:t>
      </w:r>
      <w:r>
        <w:rPr>
          <w:rFonts w:hint="eastAsia" w:cs="仿宋_GB2312"/>
          <w:color w:val="auto"/>
          <w:sz w:val="24"/>
          <w:szCs w:val="24"/>
        </w:rPr>
        <w:t>(投标人名称),提交下列文件正本一份,副本</w:t>
      </w:r>
      <w:r>
        <w:rPr>
          <w:rFonts w:hint="eastAsia" w:cs="仿宋_GB2312"/>
          <w:color w:val="auto"/>
          <w:sz w:val="24"/>
          <w:szCs w:val="24"/>
          <w:lang w:val="en-US" w:eastAsia="zh-CN"/>
        </w:rPr>
        <w:t>二</w:t>
      </w:r>
      <w:r>
        <w:rPr>
          <w:rFonts w:hint="eastAsia" w:cs="仿宋_GB2312"/>
          <w:color w:val="auto"/>
          <w:sz w:val="24"/>
          <w:szCs w:val="24"/>
        </w:rPr>
        <w:t>份。</w:t>
      </w:r>
    </w:p>
    <w:p w14:paraId="28A04CA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 谈判函；</w:t>
      </w:r>
    </w:p>
    <w:p w14:paraId="6623CD0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 报价一览表；</w:t>
      </w:r>
    </w:p>
    <w:p w14:paraId="6C8DEF8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 分项价格表；</w:t>
      </w:r>
    </w:p>
    <w:p w14:paraId="64F08C8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 偏离表；</w:t>
      </w:r>
    </w:p>
    <w:p w14:paraId="1069AD7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 谈判物资技术规格说明书；</w:t>
      </w:r>
    </w:p>
    <w:p w14:paraId="07BDFC9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 资格证明文件；</w:t>
      </w:r>
    </w:p>
    <w:p w14:paraId="3A880CE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 按采购文件要求投标人提交的其他文件。</w:t>
      </w:r>
    </w:p>
    <w:p w14:paraId="68EFBA8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为响应采购文件的相关要求，我公司做如下承诺：</w:t>
      </w:r>
    </w:p>
    <w:p w14:paraId="02DEBC4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 所附谈判价格表中规定的应提供和交付的货物谈判总价为</w:t>
      </w:r>
      <w:r>
        <w:rPr>
          <w:rFonts w:hint="eastAsia" w:cs="仿宋_GB2312"/>
          <w:color w:val="auto"/>
          <w:sz w:val="24"/>
          <w:szCs w:val="24"/>
          <w:u w:val="single"/>
        </w:rPr>
        <w:t xml:space="preserve">          </w:t>
      </w:r>
      <w:r>
        <w:rPr>
          <w:rFonts w:hint="eastAsia" w:cs="仿宋_GB2312"/>
          <w:color w:val="auto"/>
          <w:sz w:val="24"/>
          <w:szCs w:val="24"/>
        </w:rPr>
        <w:t>元(大写：</w:t>
      </w:r>
      <w:r>
        <w:rPr>
          <w:rFonts w:hint="eastAsia" w:cs="仿宋_GB2312"/>
          <w:color w:val="auto"/>
          <w:sz w:val="24"/>
          <w:szCs w:val="24"/>
          <w:u w:val="single"/>
        </w:rPr>
        <w:t xml:space="preserve">                 </w:t>
      </w:r>
      <w:r>
        <w:rPr>
          <w:rFonts w:hint="eastAsia" w:cs="仿宋_GB2312"/>
          <w:color w:val="auto"/>
          <w:sz w:val="24"/>
          <w:szCs w:val="24"/>
        </w:rPr>
        <w:t>元 )</w:t>
      </w:r>
    </w:p>
    <w:p w14:paraId="60DF635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 我们将按采购文件的规定履行合同责任和义务。</w:t>
      </w:r>
    </w:p>
    <w:p w14:paraId="0B84BAE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 我们已详细审查全部采购文件,包括修改意见(如有)以及全部参考资料和有关附件。我们完全理解并同意放弃对这方面有不明及误解而要求采购方解释和承担责任的权力。</w:t>
      </w:r>
    </w:p>
    <w:p w14:paraId="550A0AC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 在投标人须知规定的谈判有效期内遵循本谈判文件,并在投标人须知规定的谈判有效期期满之前具有约束力。</w:t>
      </w:r>
    </w:p>
    <w:p w14:paraId="2A31CF4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 同意提供贵方可能要求的与本谈判有关的任何证据或资料。</w:t>
      </w:r>
    </w:p>
    <w:p w14:paraId="7628998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 我们理解贵方不一定要接受最低报价的谈判。</w:t>
      </w:r>
    </w:p>
    <w:p w14:paraId="5FF177C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 与本谈判有关的一切正式往来通讯请寄:</w:t>
      </w:r>
    </w:p>
    <w:p w14:paraId="699135D9">
      <w:pPr>
        <w:pStyle w:val="17"/>
        <w:widowControl w:val="0"/>
        <w:adjustRightInd w:val="0"/>
        <w:snapToGrid w:val="0"/>
        <w:spacing w:before="0" w:beforeAutospacing="0" w:after="0" w:afterAutospacing="0" w:line="360" w:lineRule="auto"/>
        <w:rPr>
          <w:rFonts w:hint="eastAsia" w:cs="仿宋_GB2312"/>
          <w:color w:val="auto"/>
          <w:sz w:val="24"/>
          <w:szCs w:val="24"/>
        </w:rPr>
      </w:pPr>
    </w:p>
    <w:p w14:paraId="0F656752">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收件人:                       地  址:</w:t>
      </w:r>
    </w:p>
    <w:p w14:paraId="397081B4">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邮  编:                       电  话:</w:t>
      </w:r>
    </w:p>
    <w:p w14:paraId="700B53F4">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日  期:       年    月     日</w:t>
      </w:r>
    </w:p>
    <w:p w14:paraId="2BE8BBCC">
      <w:pPr>
        <w:pStyle w:val="17"/>
        <w:widowControl w:val="0"/>
        <w:adjustRightInd w:val="0"/>
        <w:snapToGrid w:val="0"/>
        <w:spacing w:before="0" w:beforeAutospacing="0" w:after="0" w:afterAutospacing="0" w:line="360" w:lineRule="auto"/>
        <w:rPr>
          <w:rFonts w:cs="仿宋_GB2312"/>
          <w:color w:val="auto"/>
          <w:sz w:val="24"/>
          <w:szCs w:val="24"/>
        </w:rPr>
      </w:pPr>
      <w:r>
        <w:rPr>
          <w:rFonts w:hint="eastAsia" w:cs="仿宋_GB2312"/>
          <w:color w:val="auto"/>
          <w:sz w:val="24"/>
          <w:szCs w:val="24"/>
        </w:rPr>
        <w:t xml:space="preserve">投标人授权代表（签字）：                投标人(盖章)：  </w:t>
      </w:r>
    </w:p>
    <w:p w14:paraId="344EB973">
      <w:pPr>
        <w:pStyle w:val="17"/>
        <w:widowControl w:val="0"/>
        <w:adjustRightInd w:val="0"/>
        <w:snapToGrid w:val="0"/>
        <w:spacing w:before="0" w:beforeAutospacing="0" w:after="0" w:afterAutospacing="0" w:line="360" w:lineRule="auto"/>
        <w:rPr>
          <w:rFonts w:cs="仿宋_GB2312"/>
          <w:color w:val="auto"/>
          <w:sz w:val="24"/>
          <w:szCs w:val="24"/>
        </w:rPr>
      </w:pPr>
    </w:p>
    <w:p w14:paraId="10B4219E">
      <w:pPr>
        <w:pStyle w:val="17"/>
        <w:widowControl w:val="0"/>
        <w:adjustRightInd w:val="0"/>
        <w:snapToGrid w:val="0"/>
        <w:spacing w:before="0" w:beforeAutospacing="0" w:after="0" w:afterAutospacing="0" w:line="360" w:lineRule="auto"/>
        <w:rPr>
          <w:rFonts w:cs="仿宋_GB2312"/>
          <w:color w:val="auto"/>
          <w:sz w:val="24"/>
          <w:szCs w:val="24"/>
        </w:rPr>
      </w:pPr>
    </w:p>
    <w:p w14:paraId="4A7189AE">
      <w:pPr>
        <w:pStyle w:val="17"/>
        <w:widowControl w:val="0"/>
        <w:adjustRightInd w:val="0"/>
        <w:snapToGrid w:val="0"/>
        <w:spacing w:before="0" w:beforeAutospacing="0" w:after="0" w:afterAutospacing="0" w:line="360" w:lineRule="auto"/>
        <w:rPr>
          <w:rFonts w:cs="仿宋_GB2312"/>
          <w:color w:val="auto"/>
          <w:sz w:val="24"/>
          <w:szCs w:val="24"/>
        </w:rPr>
      </w:pPr>
    </w:p>
    <w:p w14:paraId="5F050A8B">
      <w:pPr>
        <w:pStyle w:val="17"/>
        <w:widowControl w:val="0"/>
        <w:adjustRightInd w:val="0"/>
        <w:snapToGrid w:val="0"/>
        <w:spacing w:before="0" w:beforeAutospacing="0" w:after="0" w:afterAutospacing="0" w:line="360" w:lineRule="auto"/>
        <w:rPr>
          <w:rFonts w:hint="eastAsia" w:cs="仿宋_GB2312"/>
          <w:color w:val="auto"/>
          <w:sz w:val="24"/>
          <w:szCs w:val="24"/>
        </w:rPr>
      </w:pPr>
    </w:p>
    <w:p w14:paraId="05129195">
      <w:pPr>
        <w:pStyle w:val="17"/>
        <w:widowControl w:val="0"/>
        <w:adjustRightInd w:val="0"/>
        <w:snapToGrid w:val="0"/>
        <w:spacing w:before="0" w:beforeAutospacing="0" w:after="0" w:afterAutospacing="0" w:line="360" w:lineRule="auto"/>
        <w:rPr>
          <w:rFonts w:cs="仿宋_GB2312"/>
          <w:b/>
          <w:bCs/>
          <w:color w:val="auto"/>
          <w:sz w:val="24"/>
          <w:szCs w:val="24"/>
        </w:rPr>
      </w:pPr>
      <w:r>
        <w:rPr>
          <w:rFonts w:hint="eastAsia" w:cs="仿宋_GB2312"/>
          <w:b/>
          <w:bCs/>
          <w:color w:val="auto"/>
          <w:sz w:val="24"/>
          <w:szCs w:val="24"/>
        </w:rPr>
        <w:t xml:space="preserve"> 三、开标一览表:</w:t>
      </w:r>
    </w:p>
    <w:p w14:paraId="02750D68">
      <w:pPr>
        <w:pStyle w:val="17"/>
        <w:widowControl w:val="0"/>
        <w:adjustRightInd w:val="0"/>
        <w:snapToGrid w:val="0"/>
        <w:spacing w:before="0" w:beforeAutospacing="0" w:after="0" w:afterAutospacing="0" w:line="360" w:lineRule="auto"/>
        <w:rPr>
          <w:rFonts w:hint="eastAsia" w:eastAsia="宋体" w:cs="仿宋_GB2312"/>
          <w:b/>
          <w:bCs/>
          <w:color w:val="auto"/>
          <w:sz w:val="24"/>
          <w:szCs w:val="24"/>
          <w:lang w:val="en-US" w:eastAsia="zh-CN"/>
        </w:rPr>
      </w:pPr>
      <w:r>
        <w:rPr>
          <w:rFonts w:hint="eastAsia" w:cs="仿宋_GB2312"/>
          <w:b/>
          <w:bCs/>
          <w:color w:val="auto"/>
          <w:sz w:val="24"/>
          <w:szCs w:val="24"/>
        </w:rPr>
        <w:t>项目名称：</w:t>
      </w:r>
      <w:r>
        <w:rPr>
          <w:rFonts w:hint="eastAsia" w:cs="仿宋_GB2312"/>
          <w:b/>
          <w:bCs/>
          <w:color w:val="auto"/>
          <w:sz w:val="24"/>
          <w:szCs w:val="24"/>
          <w:lang w:eastAsia="zh-CN"/>
        </w:rPr>
        <w:t>办公楼</w:t>
      </w:r>
      <w:r>
        <w:rPr>
          <w:rFonts w:hint="eastAsia" w:cs="仿宋_GB2312"/>
          <w:b/>
          <w:bCs/>
          <w:color w:val="auto"/>
          <w:sz w:val="24"/>
          <w:szCs w:val="24"/>
        </w:rPr>
        <w:t>家具</w:t>
      </w:r>
      <w:r>
        <w:rPr>
          <w:rFonts w:hint="eastAsia" w:cs="仿宋_GB2312"/>
          <w:b/>
          <w:bCs/>
          <w:color w:val="auto"/>
          <w:sz w:val="24"/>
          <w:szCs w:val="24"/>
          <w:lang w:val="en-US" w:eastAsia="zh-CN"/>
        </w:rPr>
        <w:t>采购</w:t>
      </w:r>
      <w:r>
        <w:rPr>
          <w:rFonts w:hint="eastAsia" w:cs="仿宋_GB2312"/>
          <w:b/>
          <w:bCs/>
          <w:color w:val="auto"/>
          <w:sz w:val="24"/>
          <w:szCs w:val="24"/>
        </w:rPr>
        <w:t>项目</w:t>
      </w:r>
    </w:p>
    <w:tbl>
      <w:tblPr>
        <w:tblStyle w:val="1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43"/>
        <w:gridCol w:w="992"/>
        <w:gridCol w:w="651"/>
        <w:gridCol w:w="850"/>
        <w:gridCol w:w="851"/>
        <w:gridCol w:w="1385"/>
        <w:gridCol w:w="1153"/>
        <w:gridCol w:w="1049"/>
      </w:tblGrid>
      <w:tr w14:paraId="7C42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52" w:type="dxa"/>
            <w:noWrap w:val="0"/>
            <w:vAlign w:val="center"/>
          </w:tcPr>
          <w:p w14:paraId="25BB249F">
            <w:pPr>
              <w:ind w:left="-120" w:leftChars="-57" w:right="-105" w:rightChars="-50"/>
              <w:jc w:val="center"/>
              <w:rPr>
                <w:rFonts w:ascii="宋体" w:hAnsi="宋体"/>
                <w:szCs w:val="21"/>
              </w:rPr>
            </w:pPr>
            <w:r>
              <w:rPr>
                <w:rFonts w:hint="eastAsia" w:ascii="宋体" w:hAnsi="宋体"/>
                <w:szCs w:val="21"/>
              </w:rPr>
              <w:t>序号</w:t>
            </w:r>
          </w:p>
        </w:tc>
        <w:tc>
          <w:tcPr>
            <w:tcW w:w="1843" w:type="dxa"/>
            <w:noWrap w:val="0"/>
            <w:vAlign w:val="center"/>
          </w:tcPr>
          <w:p w14:paraId="271836C9">
            <w:pPr>
              <w:ind w:left="-107" w:leftChars="-51" w:right="-107" w:rightChars="-51"/>
              <w:jc w:val="center"/>
              <w:rPr>
                <w:rFonts w:ascii="宋体" w:hAnsi="宋体"/>
                <w:szCs w:val="21"/>
              </w:rPr>
            </w:pPr>
            <w:r>
              <w:rPr>
                <w:rFonts w:hint="eastAsia" w:ascii="宋体" w:hAnsi="宋体"/>
                <w:szCs w:val="21"/>
              </w:rPr>
              <w:t>名   称</w:t>
            </w:r>
          </w:p>
        </w:tc>
        <w:tc>
          <w:tcPr>
            <w:tcW w:w="992" w:type="dxa"/>
            <w:noWrap w:val="0"/>
            <w:vAlign w:val="center"/>
          </w:tcPr>
          <w:p w14:paraId="2AC67B2C">
            <w:pPr>
              <w:ind w:left="-107" w:leftChars="-51" w:right="-107" w:rightChars="-51" w:firstLine="210" w:firstLineChars="100"/>
              <w:rPr>
                <w:rFonts w:ascii="宋体" w:hAnsi="宋体"/>
                <w:szCs w:val="21"/>
              </w:rPr>
            </w:pPr>
            <w:r>
              <w:rPr>
                <w:rFonts w:hint="eastAsia" w:ascii="宋体" w:hAnsi="宋体"/>
                <w:szCs w:val="21"/>
              </w:rPr>
              <w:t>规格</w:t>
            </w:r>
          </w:p>
        </w:tc>
        <w:tc>
          <w:tcPr>
            <w:tcW w:w="651" w:type="dxa"/>
            <w:noWrap w:val="0"/>
            <w:vAlign w:val="center"/>
          </w:tcPr>
          <w:p w14:paraId="07F02912">
            <w:pPr>
              <w:ind w:left="-107" w:leftChars="-51" w:right="-107" w:rightChars="-51" w:firstLine="210" w:firstLineChars="100"/>
              <w:rPr>
                <w:rFonts w:ascii="宋体" w:hAnsi="宋体"/>
                <w:szCs w:val="21"/>
              </w:rPr>
            </w:pPr>
            <w:r>
              <w:rPr>
                <w:rFonts w:hint="eastAsia" w:ascii="宋体" w:hAnsi="宋体"/>
                <w:szCs w:val="21"/>
              </w:rPr>
              <w:t>单位</w:t>
            </w:r>
          </w:p>
        </w:tc>
        <w:tc>
          <w:tcPr>
            <w:tcW w:w="850" w:type="dxa"/>
            <w:noWrap w:val="0"/>
            <w:vAlign w:val="top"/>
          </w:tcPr>
          <w:p w14:paraId="4BA92483">
            <w:pPr>
              <w:spacing w:line="360" w:lineRule="auto"/>
              <w:ind w:right="-107" w:rightChars="-51"/>
              <w:jc w:val="center"/>
              <w:rPr>
                <w:rFonts w:hint="eastAsia" w:ascii="宋体" w:hAnsi="宋体"/>
                <w:szCs w:val="21"/>
              </w:rPr>
            </w:pPr>
            <w:r>
              <w:rPr>
                <w:rFonts w:hint="eastAsia" w:ascii="宋体" w:hAnsi="宋体"/>
                <w:szCs w:val="21"/>
              </w:rPr>
              <w:t>数量</w:t>
            </w:r>
          </w:p>
        </w:tc>
        <w:tc>
          <w:tcPr>
            <w:tcW w:w="851" w:type="dxa"/>
            <w:noWrap w:val="0"/>
            <w:vAlign w:val="top"/>
          </w:tcPr>
          <w:p w14:paraId="66E9DD31">
            <w:pPr>
              <w:spacing w:line="360" w:lineRule="auto"/>
              <w:ind w:right="-107" w:rightChars="-51"/>
              <w:jc w:val="center"/>
              <w:rPr>
                <w:rFonts w:ascii="宋体" w:hAnsi="宋体"/>
                <w:szCs w:val="21"/>
              </w:rPr>
            </w:pPr>
            <w:r>
              <w:rPr>
                <w:rFonts w:hint="eastAsia" w:ascii="宋体" w:hAnsi="宋体"/>
                <w:szCs w:val="21"/>
              </w:rPr>
              <w:t>单价</w:t>
            </w:r>
          </w:p>
        </w:tc>
        <w:tc>
          <w:tcPr>
            <w:tcW w:w="1385" w:type="dxa"/>
            <w:noWrap w:val="0"/>
            <w:vAlign w:val="top"/>
          </w:tcPr>
          <w:p w14:paraId="7DF057C2">
            <w:pPr>
              <w:spacing w:line="360" w:lineRule="auto"/>
              <w:ind w:left="-107" w:leftChars="-51" w:right="-107" w:rightChars="-51"/>
              <w:jc w:val="center"/>
              <w:rPr>
                <w:rFonts w:ascii="宋体" w:hAnsi="宋体"/>
                <w:szCs w:val="21"/>
              </w:rPr>
            </w:pPr>
            <w:r>
              <w:rPr>
                <w:rFonts w:hint="eastAsia" w:ascii="宋体" w:hAnsi="宋体"/>
                <w:szCs w:val="21"/>
              </w:rPr>
              <w:t>金额</w:t>
            </w:r>
          </w:p>
        </w:tc>
        <w:tc>
          <w:tcPr>
            <w:tcW w:w="1153" w:type="dxa"/>
            <w:noWrap w:val="0"/>
            <w:vAlign w:val="center"/>
          </w:tcPr>
          <w:p w14:paraId="7C930AC0">
            <w:pPr>
              <w:ind w:left="-107" w:leftChars="-51" w:right="-97" w:rightChars="-46"/>
              <w:jc w:val="center"/>
              <w:rPr>
                <w:rFonts w:ascii="宋体" w:hAnsi="宋体"/>
                <w:szCs w:val="21"/>
              </w:rPr>
            </w:pPr>
            <w:r>
              <w:rPr>
                <w:rFonts w:hint="eastAsia" w:ascii="宋体" w:hAnsi="宋体"/>
                <w:szCs w:val="21"/>
              </w:rPr>
              <w:t>品牌</w:t>
            </w:r>
          </w:p>
        </w:tc>
        <w:tc>
          <w:tcPr>
            <w:tcW w:w="1049" w:type="dxa"/>
            <w:noWrap w:val="0"/>
            <w:vAlign w:val="center"/>
          </w:tcPr>
          <w:p w14:paraId="7307A731">
            <w:pPr>
              <w:ind w:left="-107" w:leftChars="-51" w:right="-97" w:rightChars="-46"/>
              <w:jc w:val="center"/>
              <w:rPr>
                <w:rFonts w:hint="eastAsia" w:ascii="宋体" w:hAnsi="宋体"/>
                <w:szCs w:val="21"/>
              </w:rPr>
            </w:pPr>
            <w:r>
              <w:rPr>
                <w:rFonts w:hint="eastAsia" w:ascii="宋体" w:hAnsi="宋体"/>
                <w:szCs w:val="21"/>
              </w:rPr>
              <w:t>图样</w:t>
            </w:r>
          </w:p>
        </w:tc>
      </w:tr>
      <w:tr w14:paraId="6AFF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2" w:type="dxa"/>
            <w:noWrap w:val="0"/>
            <w:vAlign w:val="center"/>
          </w:tcPr>
          <w:p w14:paraId="16894626">
            <w:pPr>
              <w:spacing w:before="107"/>
              <w:ind w:firstLine="240" w:firstLineChars="100"/>
              <w:jc w:val="center"/>
              <w:rPr>
                <w:rFonts w:ascii="等线 Light" w:hAnsi="等线 Light" w:eastAsia="等线 Light" w:cs="等线 Light"/>
                <w:sz w:val="24"/>
              </w:rPr>
            </w:pPr>
            <w:r>
              <w:rPr>
                <w:rFonts w:hint="eastAsia" w:ascii="等线 Light" w:hAnsi="等线 Light" w:eastAsia="等线 Light" w:cs="等线 Light"/>
                <w:sz w:val="24"/>
              </w:rPr>
              <w:t>1</w:t>
            </w:r>
          </w:p>
        </w:tc>
        <w:tc>
          <w:tcPr>
            <w:tcW w:w="1843" w:type="dxa"/>
            <w:noWrap w:val="0"/>
            <w:vAlign w:val="center"/>
          </w:tcPr>
          <w:p w14:paraId="063B3B65">
            <w:pPr>
              <w:pStyle w:val="17"/>
              <w:widowControl w:val="0"/>
              <w:adjustRightInd w:val="0"/>
              <w:snapToGrid w:val="0"/>
              <w:spacing w:before="0" w:beforeAutospacing="0" w:after="0" w:afterAutospacing="0" w:line="360" w:lineRule="auto"/>
              <w:jc w:val="center"/>
              <w:rPr>
                <w:rFonts w:hint="eastAsia" w:cs="宋体"/>
              </w:rPr>
            </w:pPr>
          </w:p>
        </w:tc>
        <w:tc>
          <w:tcPr>
            <w:tcW w:w="992" w:type="dxa"/>
            <w:noWrap w:val="0"/>
            <w:vAlign w:val="center"/>
          </w:tcPr>
          <w:p w14:paraId="132B336A">
            <w:pPr>
              <w:pStyle w:val="17"/>
              <w:widowControl w:val="0"/>
              <w:adjustRightInd w:val="0"/>
              <w:snapToGrid w:val="0"/>
              <w:spacing w:before="0" w:beforeAutospacing="0" w:after="0" w:afterAutospacing="0"/>
              <w:jc w:val="center"/>
              <w:rPr>
                <w:rFonts w:ascii="仿宋" w:hAnsi="仿宋" w:eastAsia="仿宋" w:cs="仿宋"/>
              </w:rPr>
            </w:pPr>
          </w:p>
        </w:tc>
        <w:tc>
          <w:tcPr>
            <w:tcW w:w="651" w:type="dxa"/>
            <w:noWrap w:val="0"/>
            <w:vAlign w:val="center"/>
          </w:tcPr>
          <w:p w14:paraId="40357606">
            <w:pPr>
              <w:pStyle w:val="17"/>
              <w:widowControl w:val="0"/>
              <w:adjustRightInd w:val="0"/>
              <w:snapToGrid w:val="0"/>
              <w:spacing w:before="0" w:beforeAutospacing="0" w:after="0" w:afterAutospacing="0"/>
              <w:jc w:val="center"/>
            </w:pPr>
          </w:p>
          <w:p w14:paraId="6DC28562">
            <w:pPr>
              <w:pStyle w:val="17"/>
              <w:widowControl w:val="0"/>
              <w:adjustRightInd w:val="0"/>
              <w:snapToGrid w:val="0"/>
              <w:spacing w:before="0" w:beforeAutospacing="0" w:after="0" w:afterAutospacing="0"/>
              <w:jc w:val="center"/>
              <w:rPr>
                <w:rFonts w:hint="eastAsia"/>
              </w:rPr>
            </w:pPr>
          </w:p>
        </w:tc>
        <w:tc>
          <w:tcPr>
            <w:tcW w:w="850" w:type="dxa"/>
            <w:noWrap w:val="0"/>
            <w:vAlign w:val="top"/>
          </w:tcPr>
          <w:p w14:paraId="46BB7D37">
            <w:pPr>
              <w:pStyle w:val="17"/>
              <w:widowControl w:val="0"/>
              <w:adjustRightInd w:val="0"/>
              <w:snapToGrid w:val="0"/>
              <w:spacing w:before="0" w:beforeAutospacing="0" w:after="0" w:afterAutospacing="0"/>
              <w:jc w:val="center"/>
            </w:pPr>
          </w:p>
        </w:tc>
        <w:tc>
          <w:tcPr>
            <w:tcW w:w="851" w:type="dxa"/>
            <w:noWrap w:val="0"/>
            <w:vAlign w:val="center"/>
          </w:tcPr>
          <w:p w14:paraId="4E252B4A">
            <w:pPr>
              <w:pStyle w:val="17"/>
              <w:widowControl w:val="0"/>
              <w:adjustRightInd w:val="0"/>
              <w:snapToGrid w:val="0"/>
              <w:spacing w:before="0" w:beforeAutospacing="0" w:after="0" w:afterAutospacing="0"/>
              <w:jc w:val="center"/>
            </w:pPr>
          </w:p>
          <w:p w14:paraId="67D09246">
            <w:pPr>
              <w:pStyle w:val="17"/>
              <w:widowControl w:val="0"/>
              <w:adjustRightInd w:val="0"/>
              <w:snapToGrid w:val="0"/>
              <w:spacing w:before="0" w:beforeAutospacing="0" w:after="0" w:afterAutospacing="0"/>
              <w:jc w:val="center"/>
            </w:pPr>
          </w:p>
        </w:tc>
        <w:tc>
          <w:tcPr>
            <w:tcW w:w="1385" w:type="dxa"/>
            <w:noWrap w:val="0"/>
            <w:vAlign w:val="center"/>
          </w:tcPr>
          <w:p w14:paraId="60A3A329">
            <w:pPr>
              <w:ind w:left="-107" w:leftChars="-51" w:right="-107" w:rightChars="-51"/>
              <w:jc w:val="center"/>
              <w:rPr>
                <w:rFonts w:ascii="宋体" w:hAnsi="宋体"/>
                <w:sz w:val="18"/>
                <w:szCs w:val="18"/>
              </w:rPr>
            </w:pPr>
          </w:p>
        </w:tc>
        <w:tc>
          <w:tcPr>
            <w:tcW w:w="1153" w:type="dxa"/>
            <w:noWrap w:val="0"/>
            <w:vAlign w:val="center"/>
          </w:tcPr>
          <w:p w14:paraId="29E47091">
            <w:pPr>
              <w:spacing w:before="77"/>
              <w:jc w:val="center"/>
              <w:rPr>
                <w:rFonts w:ascii="宋体" w:hAnsi="宋体"/>
                <w:sz w:val="18"/>
                <w:szCs w:val="18"/>
              </w:rPr>
            </w:pPr>
          </w:p>
        </w:tc>
        <w:tc>
          <w:tcPr>
            <w:tcW w:w="1049" w:type="dxa"/>
            <w:noWrap w:val="0"/>
            <w:vAlign w:val="center"/>
          </w:tcPr>
          <w:p w14:paraId="72FA44B8">
            <w:pPr>
              <w:spacing w:before="77"/>
              <w:jc w:val="center"/>
              <w:rPr>
                <w:rFonts w:ascii="宋体" w:hAnsi="宋体"/>
                <w:sz w:val="18"/>
                <w:szCs w:val="18"/>
              </w:rPr>
            </w:pPr>
          </w:p>
        </w:tc>
      </w:tr>
      <w:tr w14:paraId="6E6C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52" w:type="dxa"/>
            <w:noWrap w:val="0"/>
            <w:vAlign w:val="center"/>
          </w:tcPr>
          <w:p w14:paraId="7BF716A2">
            <w:pPr>
              <w:spacing w:before="237"/>
              <w:ind w:firstLine="240" w:firstLineChars="100"/>
              <w:jc w:val="center"/>
              <w:rPr>
                <w:rFonts w:ascii="等线 Light" w:hAnsi="等线 Light" w:eastAsia="等线 Light" w:cs="等线 Light"/>
                <w:sz w:val="24"/>
              </w:rPr>
            </w:pPr>
            <w:r>
              <w:rPr>
                <w:rFonts w:hint="eastAsia" w:ascii="等线 Light" w:hAnsi="等线 Light" w:eastAsia="等线 Light" w:cs="等线 Light"/>
                <w:sz w:val="24"/>
              </w:rPr>
              <w:t>2</w:t>
            </w:r>
          </w:p>
        </w:tc>
        <w:tc>
          <w:tcPr>
            <w:tcW w:w="1843" w:type="dxa"/>
            <w:noWrap w:val="0"/>
            <w:vAlign w:val="center"/>
          </w:tcPr>
          <w:p w14:paraId="207E6AF0">
            <w:pPr>
              <w:pStyle w:val="17"/>
              <w:widowControl w:val="0"/>
              <w:adjustRightInd w:val="0"/>
              <w:snapToGrid w:val="0"/>
              <w:spacing w:before="0" w:beforeAutospacing="0" w:after="0" w:afterAutospacing="0" w:line="360" w:lineRule="auto"/>
              <w:jc w:val="center"/>
              <w:rPr>
                <w:rFonts w:hint="eastAsia"/>
                <w:sz w:val="24"/>
                <w:szCs w:val="24"/>
              </w:rPr>
            </w:pPr>
          </w:p>
        </w:tc>
        <w:tc>
          <w:tcPr>
            <w:tcW w:w="992" w:type="dxa"/>
            <w:noWrap w:val="0"/>
            <w:vAlign w:val="center"/>
          </w:tcPr>
          <w:p w14:paraId="615FEB6C">
            <w:pPr>
              <w:pStyle w:val="17"/>
              <w:widowControl w:val="0"/>
              <w:adjustRightInd w:val="0"/>
              <w:snapToGrid w:val="0"/>
              <w:spacing w:before="0" w:beforeAutospacing="0" w:after="0" w:afterAutospacing="0"/>
              <w:jc w:val="center"/>
              <w:rPr>
                <w:rFonts w:ascii="仿宋" w:hAnsi="仿宋" w:eastAsia="仿宋" w:cs="仿宋"/>
                <w:sz w:val="24"/>
                <w:szCs w:val="24"/>
              </w:rPr>
            </w:pPr>
          </w:p>
        </w:tc>
        <w:tc>
          <w:tcPr>
            <w:tcW w:w="651" w:type="dxa"/>
            <w:noWrap w:val="0"/>
            <w:vAlign w:val="center"/>
          </w:tcPr>
          <w:p w14:paraId="399A8C55">
            <w:pPr>
              <w:pStyle w:val="17"/>
              <w:widowControl w:val="0"/>
              <w:adjustRightInd w:val="0"/>
              <w:snapToGrid w:val="0"/>
              <w:spacing w:before="0" w:beforeAutospacing="0" w:after="0" w:afterAutospacing="0"/>
              <w:jc w:val="center"/>
              <w:rPr>
                <w:sz w:val="24"/>
                <w:szCs w:val="24"/>
              </w:rPr>
            </w:pPr>
          </w:p>
          <w:p w14:paraId="493B7567">
            <w:pPr>
              <w:pStyle w:val="17"/>
              <w:widowControl w:val="0"/>
              <w:adjustRightInd w:val="0"/>
              <w:snapToGrid w:val="0"/>
              <w:spacing w:before="0" w:beforeAutospacing="0" w:after="0" w:afterAutospacing="0"/>
              <w:jc w:val="center"/>
              <w:rPr>
                <w:rFonts w:hint="eastAsia"/>
                <w:sz w:val="24"/>
                <w:szCs w:val="24"/>
              </w:rPr>
            </w:pPr>
          </w:p>
        </w:tc>
        <w:tc>
          <w:tcPr>
            <w:tcW w:w="850" w:type="dxa"/>
            <w:noWrap w:val="0"/>
            <w:vAlign w:val="top"/>
          </w:tcPr>
          <w:p w14:paraId="65485F6A">
            <w:pPr>
              <w:pStyle w:val="17"/>
              <w:widowControl w:val="0"/>
              <w:adjustRightInd w:val="0"/>
              <w:snapToGrid w:val="0"/>
              <w:spacing w:before="0" w:beforeAutospacing="0" w:after="0" w:afterAutospacing="0"/>
              <w:jc w:val="center"/>
              <w:rPr>
                <w:sz w:val="24"/>
                <w:szCs w:val="24"/>
              </w:rPr>
            </w:pPr>
          </w:p>
        </w:tc>
        <w:tc>
          <w:tcPr>
            <w:tcW w:w="851" w:type="dxa"/>
            <w:noWrap w:val="0"/>
            <w:vAlign w:val="center"/>
          </w:tcPr>
          <w:p w14:paraId="0FC42B3D">
            <w:pPr>
              <w:pStyle w:val="17"/>
              <w:widowControl w:val="0"/>
              <w:adjustRightInd w:val="0"/>
              <w:snapToGrid w:val="0"/>
              <w:spacing w:before="0" w:beforeAutospacing="0" w:after="0" w:afterAutospacing="0"/>
              <w:jc w:val="center"/>
              <w:rPr>
                <w:sz w:val="24"/>
                <w:szCs w:val="24"/>
              </w:rPr>
            </w:pPr>
          </w:p>
          <w:p w14:paraId="1F053BDF">
            <w:pPr>
              <w:pStyle w:val="17"/>
              <w:widowControl w:val="0"/>
              <w:adjustRightInd w:val="0"/>
              <w:snapToGrid w:val="0"/>
              <w:spacing w:before="0" w:beforeAutospacing="0" w:after="0" w:afterAutospacing="0"/>
              <w:jc w:val="center"/>
              <w:rPr>
                <w:sz w:val="24"/>
                <w:szCs w:val="24"/>
              </w:rPr>
            </w:pPr>
          </w:p>
        </w:tc>
        <w:tc>
          <w:tcPr>
            <w:tcW w:w="1385" w:type="dxa"/>
            <w:noWrap w:val="0"/>
            <w:vAlign w:val="center"/>
          </w:tcPr>
          <w:p w14:paraId="33084944">
            <w:pPr>
              <w:ind w:left="-107" w:leftChars="-51" w:right="-107" w:rightChars="-51"/>
              <w:jc w:val="center"/>
              <w:rPr>
                <w:rFonts w:ascii="宋体" w:hAnsi="宋体"/>
                <w:sz w:val="24"/>
              </w:rPr>
            </w:pPr>
          </w:p>
        </w:tc>
        <w:tc>
          <w:tcPr>
            <w:tcW w:w="1153" w:type="dxa"/>
            <w:noWrap w:val="0"/>
            <w:vAlign w:val="center"/>
          </w:tcPr>
          <w:p w14:paraId="283A8E05">
            <w:pPr>
              <w:jc w:val="center"/>
              <w:rPr>
                <w:rFonts w:ascii="宋体" w:hAnsi="宋体"/>
                <w:sz w:val="24"/>
              </w:rPr>
            </w:pPr>
          </w:p>
        </w:tc>
        <w:tc>
          <w:tcPr>
            <w:tcW w:w="1049" w:type="dxa"/>
            <w:noWrap w:val="0"/>
            <w:vAlign w:val="center"/>
          </w:tcPr>
          <w:p w14:paraId="686F3688">
            <w:pPr>
              <w:jc w:val="center"/>
              <w:rPr>
                <w:rFonts w:ascii="宋体" w:hAnsi="宋体"/>
                <w:sz w:val="24"/>
              </w:rPr>
            </w:pPr>
          </w:p>
        </w:tc>
      </w:tr>
      <w:tr w14:paraId="3A51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2" w:type="dxa"/>
            <w:noWrap w:val="0"/>
            <w:vAlign w:val="center"/>
          </w:tcPr>
          <w:p w14:paraId="016B1010">
            <w:pPr>
              <w:spacing w:before="179"/>
              <w:ind w:left="323"/>
              <w:jc w:val="center"/>
              <w:rPr>
                <w:rFonts w:ascii="等线 Light" w:hAnsi="等线 Light" w:eastAsia="等线 Light" w:cs="等线 Light"/>
                <w:sz w:val="24"/>
              </w:rPr>
            </w:pPr>
            <w:r>
              <w:rPr>
                <w:rFonts w:hint="eastAsia" w:ascii="等线 Light" w:hAnsi="等线 Light" w:eastAsia="等线 Light" w:cs="等线 Light"/>
                <w:sz w:val="24"/>
              </w:rPr>
              <w:t>3</w:t>
            </w:r>
          </w:p>
        </w:tc>
        <w:tc>
          <w:tcPr>
            <w:tcW w:w="1843" w:type="dxa"/>
            <w:noWrap w:val="0"/>
            <w:vAlign w:val="center"/>
          </w:tcPr>
          <w:p w14:paraId="5CE81615">
            <w:pPr>
              <w:pStyle w:val="17"/>
              <w:widowControl w:val="0"/>
              <w:adjustRightInd w:val="0"/>
              <w:snapToGrid w:val="0"/>
              <w:spacing w:before="0" w:beforeAutospacing="0" w:after="0" w:afterAutospacing="0" w:line="360" w:lineRule="auto"/>
              <w:jc w:val="center"/>
              <w:rPr>
                <w:rFonts w:hint="eastAsia" w:cs="宋体"/>
                <w:sz w:val="24"/>
                <w:szCs w:val="24"/>
              </w:rPr>
            </w:pPr>
          </w:p>
        </w:tc>
        <w:tc>
          <w:tcPr>
            <w:tcW w:w="992" w:type="dxa"/>
            <w:noWrap w:val="0"/>
            <w:vAlign w:val="center"/>
          </w:tcPr>
          <w:p w14:paraId="16A461E7">
            <w:pPr>
              <w:pStyle w:val="17"/>
              <w:widowControl w:val="0"/>
              <w:adjustRightInd w:val="0"/>
              <w:snapToGrid w:val="0"/>
              <w:spacing w:before="0" w:beforeAutospacing="0" w:after="0" w:afterAutospacing="0"/>
              <w:jc w:val="center"/>
              <w:rPr>
                <w:rFonts w:ascii="仿宋" w:hAnsi="仿宋" w:eastAsia="仿宋" w:cs="仿宋"/>
                <w:sz w:val="24"/>
                <w:szCs w:val="24"/>
              </w:rPr>
            </w:pPr>
          </w:p>
        </w:tc>
        <w:tc>
          <w:tcPr>
            <w:tcW w:w="651" w:type="dxa"/>
            <w:noWrap w:val="0"/>
            <w:vAlign w:val="center"/>
          </w:tcPr>
          <w:p w14:paraId="1976AB38">
            <w:pPr>
              <w:pStyle w:val="17"/>
              <w:widowControl w:val="0"/>
              <w:adjustRightInd w:val="0"/>
              <w:snapToGrid w:val="0"/>
              <w:spacing w:before="0" w:beforeAutospacing="0" w:after="0" w:afterAutospacing="0"/>
              <w:jc w:val="center"/>
              <w:rPr>
                <w:sz w:val="24"/>
                <w:szCs w:val="24"/>
              </w:rPr>
            </w:pPr>
          </w:p>
          <w:p w14:paraId="73AB2702">
            <w:pPr>
              <w:pStyle w:val="17"/>
              <w:widowControl w:val="0"/>
              <w:adjustRightInd w:val="0"/>
              <w:snapToGrid w:val="0"/>
              <w:spacing w:before="0" w:beforeAutospacing="0" w:after="0" w:afterAutospacing="0"/>
              <w:jc w:val="center"/>
              <w:rPr>
                <w:rFonts w:hint="eastAsia"/>
                <w:sz w:val="24"/>
                <w:szCs w:val="24"/>
              </w:rPr>
            </w:pPr>
          </w:p>
        </w:tc>
        <w:tc>
          <w:tcPr>
            <w:tcW w:w="850" w:type="dxa"/>
            <w:noWrap w:val="0"/>
            <w:vAlign w:val="top"/>
          </w:tcPr>
          <w:p w14:paraId="0BE22459">
            <w:pPr>
              <w:pStyle w:val="17"/>
              <w:widowControl w:val="0"/>
              <w:adjustRightInd w:val="0"/>
              <w:snapToGrid w:val="0"/>
              <w:spacing w:before="0" w:beforeAutospacing="0" w:after="0" w:afterAutospacing="0"/>
              <w:jc w:val="center"/>
              <w:rPr>
                <w:sz w:val="24"/>
                <w:szCs w:val="24"/>
              </w:rPr>
            </w:pPr>
          </w:p>
        </w:tc>
        <w:tc>
          <w:tcPr>
            <w:tcW w:w="851" w:type="dxa"/>
            <w:noWrap w:val="0"/>
            <w:vAlign w:val="center"/>
          </w:tcPr>
          <w:p w14:paraId="4C42215B">
            <w:pPr>
              <w:pStyle w:val="17"/>
              <w:widowControl w:val="0"/>
              <w:adjustRightInd w:val="0"/>
              <w:snapToGrid w:val="0"/>
              <w:spacing w:before="0" w:beforeAutospacing="0" w:after="0" w:afterAutospacing="0"/>
              <w:jc w:val="center"/>
              <w:rPr>
                <w:sz w:val="24"/>
                <w:szCs w:val="24"/>
              </w:rPr>
            </w:pPr>
          </w:p>
          <w:p w14:paraId="3A78AEBC">
            <w:pPr>
              <w:pStyle w:val="17"/>
              <w:widowControl w:val="0"/>
              <w:adjustRightInd w:val="0"/>
              <w:snapToGrid w:val="0"/>
              <w:spacing w:before="0" w:beforeAutospacing="0" w:after="0" w:afterAutospacing="0"/>
              <w:jc w:val="center"/>
              <w:rPr>
                <w:sz w:val="24"/>
                <w:szCs w:val="24"/>
              </w:rPr>
            </w:pPr>
          </w:p>
        </w:tc>
        <w:tc>
          <w:tcPr>
            <w:tcW w:w="1385" w:type="dxa"/>
            <w:noWrap w:val="0"/>
            <w:vAlign w:val="center"/>
          </w:tcPr>
          <w:p w14:paraId="01F9EFFD">
            <w:pPr>
              <w:ind w:left="-107" w:leftChars="-51" w:right="-107" w:rightChars="-51"/>
              <w:jc w:val="center"/>
              <w:rPr>
                <w:rFonts w:ascii="宋体" w:hAnsi="宋体"/>
                <w:sz w:val="24"/>
              </w:rPr>
            </w:pPr>
          </w:p>
        </w:tc>
        <w:tc>
          <w:tcPr>
            <w:tcW w:w="1153" w:type="dxa"/>
            <w:noWrap w:val="0"/>
            <w:vAlign w:val="center"/>
          </w:tcPr>
          <w:p w14:paraId="11CE9266">
            <w:pPr>
              <w:jc w:val="center"/>
              <w:rPr>
                <w:rFonts w:ascii="宋体" w:hAnsi="宋体"/>
                <w:sz w:val="24"/>
              </w:rPr>
            </w:pPr>
          </w:p>
        </w:tc>
        <w:tc>
          <w:tcPr>
            <w:tcW w:w="1049" w:type="dxa"/>
            <w:noWrap w:val="0"/>
            <w:vAlign w:val="center"/>
          </w:tcPr>
          <w:p w14:paraId="3C3184F5">
            <w:pPr>
              <w:jc w:val="center"/>
              <w:rPr>
                <w:rFonts w:ascii="宋体" w:hAnsi="宋体"/>
                <w:sz w:val="24"/>
              </w:rPr>
            </w:pPr>
          </w:p>
        </w:tc>
      </w:tr>
      <w:tr w14:paraId="5B0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2" w:type="dxa"/>
            <w:noWrap w:val="0"/>
            <w:vAlign w:val="center"/>
          </w:tcPr>
          <w:p w14:paraId="6B998185">
            <w:pPr>
              <w:spacing w:before="179"/>
              <w:ind w:left="323"/>
              <w:jc w:val="center"/>
              <w:rPr>
                <w:rFonts w:ascii="等线 Light" w:hAnsi="等线 Light" w:eastAsia="等线 Light" w:cs="等线 Light"/>
                <w:sz w:val="24"/>
              </w:rPr>
            </w:pPr>
          </w:p>
          <w:p w14:paraId="6E289E18">
            <w:pPr>
              <w:pStyle w:val="4"/>
              <w:rPr>
                <w:rFonts w:hint="eastAsia"/>
              </w:rPr>
            </w:pPr>
          </w:p>
        </w:tc>
        <w:tc>
          <w:tcPr>
            <w:tcW w:w="1843" w:type="dxa"/>
            <w:noWrap w:val="0"/>
            <w:vAlign w:val="center"/>
          </w:tcPr>
          <w:p w14:paraId="00029E10">
            <w:pPr>
              <w:pStyle w:val="17"/>
              <w:widowControl w:val="0"/>
              <w:adjustRightInd w:val="0"/>
              <w:snapToGrid w:val="0"/>
              <w:spacing w:before="0" w:beforeAutospacing="0" w:after="0" w:afterAutospacing="0" w:line="360" w:lineRule="auto"/>
              <w:jc w:val="center"/>
              <w:rPr>
                <w:rFonts w:hint="eastAsia" w:cs="宋体"/>
                <w:sz w:val="24"/>
                <w:szCs w:val="24"/>
              </w:rPr>
            </w:pPr>
          </w:p>
        </w:tc>
        <w:tc>
          <w:tcPr>
            <w:tcW w:w="992" w:type="dxa"/>
            <w:noWrap w:val="0"/>
            <w:vAlign w:val="center"/>
          </w:tcPr>
          <w:p w14:paraId="1370FC24">
            <w:pPr>
              <w:pStyle w:val="17"/>
              <w:widowControl w:val="0"/>
              <w:adjustRightInd w:val="0"/>
              <w:snapToGrid w:val="0"/>
              <w:spacing w:before="0" w:beforeAutospacing="0" w:after="0" w:afterAutospacing="0"/>
              <w:jc w:val="center"/>
              <w:rPr>
                <w:rFonts w:ascii="仿宋" w:hAnsi="仿宋" w:eastAsia="仿宋" w:cs="仿宋"/>
                <w:sz w:val="24"/>
                <w:szCs w:val="24"/>
              </w:rPr>
            </w:pPr>
          </w:p>
        </w:tc>
        <w:tc>
          <w:tcPr>
            <w:tcW w:w="651" w:type="dxa"/>
            <w:noWrap w:val="0"/>
            <w:vAlign w:val="center"/>
          </w:tcPr>
          <w:p w14:paraId="0FEDF112">
            <w:pPr>
              <w:pStyle w:val="17"/>
              <w:widowControl w:val="0"/>
              <w:adjustRightInd w:val="0"/>
              <w:snapToGrid w:val="0"/>
              <w:spacing w:before="0" w:beforeAutospacing="0" w:after="0" w:afterAutospacing="0"/>
              <w:jc w:val="center"/>
              <w:rPr>
                <w:sz w:val="24"/>
                <w:szCs w:val="24"/>
              </w:rPr>
            </w:pPr>
          </w:p>
        </w:tc>
        <w:tc>
          <w:tcPr>
            <w:tcW w:w="850" w:type="dxa"/>
            <w:noWrap w:val="0"/>
            <w:vAlign w:val="top"/>
          </w:tcPr>
          <w:p w14:paraId="1E2DAAF9">
            <w:pPr>
              <w:pStyle w:val="17"/>
              <w:widowControl w:val="0"/>
              <w:adjustRightInd w:val="0"/>
              <w:snapToGrid w:val="0"/>
              <w:spacing w:before="0" w:beforeAutospacing="0" w:after="0" w:afterAutospacing="0"/>
              <w:jc w:val="center"/>
              <w:rPr>
                <w:sz w:val="24"/>
                <w:szCs w:val="24"/>
              </w:rPr>
            </w:pPr>
          </w:p>
        </w:tc>
        <w:tc>
          <w:tcPr>
            <w:tcW w:w="851" w:type="dxa"/>
            <w:noWrap w:val="0"/>
            <w:vAlign w:val="center"/>
          </w:tcPr>
          <w:p w14:paraId="7DA3D1A8">
            <w:pPr>
              <w:pStyle w:val="17"/>
              <w:widowControl w:val="0"/>
              <w:adjustRightInd w:val="0"/>
              <w:snapToGrid w:val="0"/>
              <w:spacing w:before="0" w:beforeAutospacing="0" w:after="0" w:afterAutospacing="0"/>
              <w:jc w:val="center"/>
              <w:rPr>
                <w:sz w:val="24"/>
                <w:szCs w:val="24"/>
              </w:rPr>
            </w:pPr>
          </w:p>
        </w:tc>
        <w:tc>
          <w:tcPr>
            <w:tcW w:w="1385" w:type="dxa"/>
            <w:noWrap w:val="0"/>
            <w:vAlign w:val="center"/>
          </w:tcPr>
          <w:p w14:paraId="7D5F50A4">
            <w:pPr>
              <w:ind w:left="-107" w:leftChars="-51" w:right="-107" w:rightChars="-51"/>
              <w:jc w:val="center"/>
              <w:rPr>
                <w:rFonts w:ascii="宋体" w:hAnsi="宋体"/>
                <w:sz w:val="24"/>
              </w:rPr>
            </w:pPr>
          </w:p>
        </w:tc>
        <w:tc>
          <w:tcPr>
            <w:tcW w:w="1153" w:type="dxa"/>
            <w:noWrap w:val="0"/>
            <w:vAlign w:val="center"/>
          </w:tcPr>
          <w:p w14:paraId="65429E6D">
            <w:pPr>
              <w:jc w:val="center"/>
              <w:rPr>
                <w:rFonts w:ascii="宋体" w:hAnsi="宋体"/>
                <w:sz w:val="24"/>
              </w:rPr>
            </w:pPr>
          </w:p>
        </w:tc>
        <w:tc>
          <w:tcPr>
            <w:tcW w:w="1049" w:type="dxa"/>
            <w:noWrap w:val="0"/>
            <w:vAlign w:val="center"/>
          </w:tcPr>
          <w:p w14:paraId="3984B84E">
            <w:pPr>
              <w:jc w:val="center"/>
              <w:rPr>
                <w:rFonts w:ascii="宋体" w:hAnsi="宋体"/>
                <w:sz w:val="24"/>
              </w:rPr>
            </w:pPr>
          </w:p>
        </w:tc>
      </w:tr>
      <w:tr w14:paraId="384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2" w:type="dxa"/>
            <w:noWrap w:val="0"/>
            <w:vAlign w:val="center"/>
          </w:tcPr>
          <w:p w14:paraId="1038EC61">
            <w:pPr>
              <w:spacing w:before="179"/>
              <w:ind w:left="323"/>
              <w:jc w:val="center"/>
              <w:rPr>
                <w:rFonts w:hint="eastAsia" w:ascii="等线 Light" w:hAnsi="等线 Light" w:eastAsia="等线 Light" w:cs="等线 Light"/>
                <w:sz w:val="24"/>
              </w:rPr>
            </w:pPr>
          </w:p>
        </w:tc>
        <w:tc>
          <w:tcPr>
            <w:tcW w:w="1843" w:type="dxa"/>
            <w:noWrap w:val="0"/>
            <w:vAlign w:val="center"/>
          </w:tcPr>
          <w:p w14:paraId="480D57DA">
            <w:pPr>
              <w:pStyle w:val="17"/>
              <w:widowControl w:val="0"/>
              <w:adjustRightInd w:val="0"/>
              <w:snapToGrid w:val="0"/>
              <w:spacing w:before="0" w:beforeAutospacing="0" w:after="0" w:afterAutospacing="0" w:line="360" w:lineRule="auto"/>
              <w:jc w:val="center"/>
              <w:rPr>
                <w:rFonts w:hint="eastAsia" w:cs="宋体"/>
                <w:sz w:val="24"/>
                <w:szCs w:val="24"/>
              </w:rPr>
            </w:pPr>
          </w:p>
        </w:tc>
        <w:tc>
          <w:tcPr>
            <w:tcW w:w="992" w:type="dxa"/>
            <w:noWrap w:val="0"/>
            <w:vAlign w:val="center"/>
          </w:tcPr>
          <w:p w14:paraId="5A6E5959">
            <w:pPr>
              <w:pStyle w:val="17"/>
              <w:widowControl w:val="0"/>
              <w:adjustRightInd w:val="0"/>
              <w:snapToGrid w:val="0"/>
              <w:spacing w:before="0" w:beforeAutospacing="0" w:after="0" w:afterAutospacing="0"/>
              <w:jc w:val="center"/>
              <w:rPr>
                <w:rFonts w:ascii="仿宋" w:hAnsi="仿宋" w:eastAsia="仿宋" w:cs="仿宋"/>
                <w:sz w:val="24"/>
                <w:szCs w:val="24"/>
              </w:rPr>
            </w:pPr>
          </w:p>
        </w:tc>
        <w:tc>
          <w:tcPr>
            <w:tcW w:w="651" w:type="dxa"/>
            <w:noWrap w:val="0"/>
            <w:vAlign w:val="center"/>
          </w:tcPr>
          <w:p w14:paraId="6D6E903E">
            <w:pPr>
              <w:pStyle w:val="17"/>
              <w:widowControl w:val="0"/>
              <w:adjustRightInd w:val="0"/>
              <w:snapToGrid w:val="0"/>
              <w:spacing w:before="0" w:beforeAutospacing="0" w:after="0" w:afterAutospacing="0"/>
              <w:jc w:val="center"/>
              <w:rPr>
                <w:sz w:val="24"/>
                <w:szCs w:val="24"/>
              </w:rPr>
            </w:pPr>
          </w:p>
        </w:tc>
        <w:tc>
          <w:tcPr>
            <w:tcW w:w="850" w:type="dxa"/>
            <w:noWrap w:val="0"/>
            <w:vAlign w:val="top"/>
          </w:tcPr>
          <w:p w14:paraId="382B6507">
            <w:pPr>
              <w:pStyle w:val="17"/>
              <w:widowControl w:val="0"/>
              <w:adjustRightInd w:val="0"/>
              <w:snapToGrid w:val="0"/>
              <w:spacing w:before="0" w:beforeAutospacing="0" w:after="0" w:afterAutospacing="0"/>
              <w:jc w:val="center"/>
              <w:rPr>
                <w:sz w:val="24"/>
                <w:szCs w:val="24"/>
              </w:rPr>
            </w:pPr>
          </w:p>
        </w:tc>
        <w:tc>
          <w:tcPr>
            <w:tcW w:w="851" w:type="dxa"/>
            <w:noWrap w:val="0"/>
            <w:vAlign w:val="center"/>
          </w:tcPr>
          <w:p w14:paraId="1CB1B6B9">
            <w:pPr>
              <w:pStyle w:val="17"/>
              <w:widowControl w:val="0"/>
              <w:adjustRightInd w:val="0"/>
              <w:snapToGrid w:val="0"/>
              <w:spacing w:before="0" w:beforeAutospacing="0" w:after="0" w:afterAutospacing="0"/>
              <w:jc w:val="center"/>
              <w:rPr>
                <w:sz w:val="24"/>
                <w:szCs w:val="24"/>
              </w:rPr>
            </w:pPr>
          </w:p>
        </w:tc>
        <w:tc>
          <w:tcPr>
            <w:tcW w:w="1385" w:type="dxa"/>
            <w:noWrap w:val="0"/>
            <w:vAlign w:val="center"/>
          </w:tcPr>
          <w:p w14:paraId="5E938F7F">
            <w:pPr>
              <w:ind w:left="-107" w:leftChars="-51" w:right="-107" w:rightChars="-51"/>
              <w:jc w:val="center"/>
              <w:rPr>
                <w:rFonts w:ascii="宋体" w:hAnsi="宋体"/>
                <w:sz w:val="24"/>
              </w:rPr>
            </w:pPr>
          </w:p>
        </w:tc>
        <w:tc>
          <w:tcPr>
            <w:tcW w:w="1153" w:type="dxa"/>
            <w:noWrap w:val="0"/>
            <w:vAlign w:val="center"/>
          </w:tcPr>
          <w:p w14:paraId="59DCF400">
            <w:pPr>
              <w:jc w:val="center"/>
              <w:rPr>
                <w:rFonts w:ascii="宋体" w:hAnsi="宋体"/>
                <w:sz w:val="24"/>
              </w:rPr>
            </w:pPr>
          </w:p>
        </w:tc>
        <w:tc>
          <w:tcPr>
            <w:tcW w:w="1049" w:type="dxa"/>
            <w:noWrap w:val="0"/>
            <w:vAlign w:val="center"/>
          </w:tcPr>
          <w:p w14:paraId="6F3A8C7D">
            <w:pPr>
              <w:jc w:val="center"/>
              <w:rPr>
                <w:rFonts w:ascii="宋体" w:hAnsi="宋体"/>
                <w:sz w:val="24"/>
              </w:rPr>
            </w:pPr>
          </w:p>
        </w:tc>
      </w:tr>
      <w:tr w14:paraId="26A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2" w:type="dxa"/>
            <w:noWrap w:val="0"/>
            <w:vAlign w:val="center"/>
          </w:tcPr>
          <w:p w14:paraId="77726556">
            <w:pPr>
              <w:spacing w:before="179" w:line="191" w:lineRule="auto"/>
              <w:ind w:left="323"/>
              <w:rPr>
                <w:rFonts w:ascii="仿宋" w:hAnsi="仿宋" w:eastAsia="仿宋" w:cs="仿宋"/>
                <w:sz w:val="24"/>
              </w:rPr>
            </w:pPr>
          </w:p>
        </w:tc>
        <w:tc>
          <w:tcPr>
            <w:tcW w:w="1843" w:type="dxa"/>
            <w:noWrap w:val="0"/>
            <w:vAlign w:val="center"/>
          </w:tcPr>
          <w:p w14:paraId="60AA030E">
            <w:pPr>
              <w:pStyle w:val="17"/>
              <w:widowControl w:val="0"/>
              <w:adjustRightInd w:val="0"/>
              <w:snapToGrid w:val="0"/>
              <w:spacing w:before="0" w:beforeAutospacing="0" w:after="0" w:afterAutospacing="0" w:line="360" w:lineRule="auto"/>
              <w:jc w:val="center"/>
              <w:rPr>
                <w:sz w:val="24"/>
                <w:szCs w:val="24"/>
              </w:rPr>
            </w:pPr>
            <w:r>
              <w:rPr>
                <w:rFonts w:hint="eastAsia"/>
                <w:sz w:val="24"/>
                <w:szCs w:val="24"/>
              </w:rPr>
              <w:t>合计</w:t>
            </w:r>
          </w:p>
        </w:tc>
        <w:tc>
          <w:tcPr>
            <w:tcW w:w="992" w:type="dxa"/>
            <w:noWrap w:val="0"/>
            <w:vAlign w:val="center"/>
          </w:tcPr>
          <w:p w14:paraId="5F8A6D97">
            <w:pPr>
              <w:pStyle w:val="17"/>
              <w:widowControl w:val="0"/>
              <w:adjustRightInd w:val="0"/>
              <w:snapToGrid w:val="0"/>
              <w:spacing w:before="0" w:beforeAutospacing="0" w:after="0" w:afterAutospacing="0" w:line="360" w:lineRule="auto"/>
              <w:jc w:val="center"/>
              <w:rPr>
                <w:rFonts w:ascii="仿宋" w:hAnsi="仿宋" w:eastAsia="仿宋" w:cs="仿宋"/>
                <w:sz w:val="24"/>
                <w:szCs w:val="24"/>
              </w:rPr>
            </w:pPr>
          </w:p>
        </w:tc>
        <w:tc>
          <w:tcPr>
            <w:tcW w:w="651" w:type="dxa"/>
            <w:noWrap w:val="0"/>
            <w:vAlign w:val="center"/>
          </w:tcPr>
          <w:p w14:paraId="08F72328">
            <w:pPr>
              <w:pStyle w:val="17"/>
              <w:widowControl w:val="0"/>
              <w:adjustRightInd w:val="0"/>
              <w:snapToGrid w:val="0"/>
              <w:spacing w:before="0" w:beforeAutospacing="0" w:after="0" w:afterAutospacing="0" w:line="360" w:lineRule="auto"/>
              <w:jc w:val="center"/>
              <w:rPr>
                <w:sz w:val="24"/>
                <w:szCs w:val="24"/>
              </w:rPr>
            </w:pPr>
          </w:p>
        </w:tc>
        <w:tc>
          <w:tcPr>
            <w:tcW w:w="850" w:type="dxa"/>
            <w:noWrap w:val="0"/>
            <w:vAlign w:val="top"/>
          </w:tcPr>
          <w:p w14:paraId="60C08695">
            <w:pPr>
              <w:pStyle w:val="17"/>
              <w:widowControl w:val="0"/>
              <w:adjustRightInd w:val="0"/>
              <w:snapToGrid w:val="0"/>
              <w:spacing w:before="0" w:beforeAutospacing="0" w:after="0" w:afterAutospacing="0" w:line="360" w:lineRule="auto"/>
              <w:jc w:val="center"/>
              <w:rPr>
                <w:sz w:val="24"/>
                <w:szCs w:val="24"/>
              </w:rPr>
            </w:pPr>
          </w:p>
        </w:tc>
        <w:tc>
          <w:tcPr>
            <w:tcW w:w="851" w:type="dxa"/>
            <w:noWrap w:val="0"/>
            <w:vAlign w:val="center"/>
          </w:tcPr>
          <w:p w14:paraId="16720B3C">
            <w:pPr>
              <w:pStyle w:val="17"/>
              <w:widowControl w:val="0"/>
              <w:adjustRightInd w:val="0"/>
              <w:snapToGrid w:val="0"/>
              <w:spacing w:before="0" w:beforeAutospacing="0" w:after="0" w:afterAutospacing="0" w:line="360" w:lineRule="auto"/>
              <w:jc w:val="center"/>
              <w:rPr>
                <w:sz w:val="24"/>
                <w:szCs w:val="24"/>
              </w:rPr>
            </w:pPr>
          </w:p>
        </w:tc>
        <w:tc>
          <w:tcPr>
            <w:tcW w:w="1385" w:type="dxa"/>
            <w:noWrap w:val="0"/>
            <w:vAlign w:val="center"/>
          </w:tcPr>
          <w:p w14:paraId="172CD3B2">
            <w:pPr>
              <w:ind w:left="-107" w:leftChars="-51" w:right="-107" w:rightChars="-51"/>
              <w:jc w:val="center"/>
              <w:rPr>
                <w:rFonts w:ascii="宋体" w:hAnsi="宋体"/>
                <w:szCs w:val="21"/>
              </w:rPr>
            </w:pPr>
          </w:p>
        </w:tc>
        <w:tc>
          <w:tcPr>
            <w:tcW w:w="1153" w:type="dxa"/>
            <w:noWrap w:val="0"/>
            <w:vAlign w:val="center"/>
          </w:tcPr>
          <w:p w14:paraId="30EB03BE">
            <w:pPr>
              <w:jc w:val="center"/>
              <w:rPr>
                <w:rFonts w:ascii="等线 Light" w:hAnsi="等线 Light" w:eastAsia="等线 Light" w:cs="等线 Light"/>
                <w:spacing w:val="9"/>
                <w:sz w:val="24"/>
              </w:rPr>
            </w:pPr>
          </w:p>
        </w:tc>
        <w:tc>
          <w:tcPr>
            <w:tcW w:w="1049" w:type="dxa"/>
            <w:noWrap w:val="0"/>
            <w:vAlign w:val="center"/>
          </w:tcPr>
          <w:p w14:paraId="28A57CB6">
            <w:pPr>
              <w:jc w:val="center"/>
              <w:rPr>
                <w:rFonts w:ascii="等线 Light" w:hAnsi="等线 Light" w:eastAsia="等线 Light" w:cs="等线 Light"/>
                <w:spacing w:val="9"/>
                <w:sz w:val="24"/>
              </w:rPr>
            </w:pPr>
          </w:p>
        </w:tc>
      </w:tr>
    </w:tbl>
    <w:p w14:paraId="19226207">
      <w:pPr>
        <w:rPr>
          <w:rFonts w:hint="eastAsia"/>
          <w:vanish/>
        </w:rPr>
      </w:pPr>
    </w:p>
    <w:p w14:paraId="5DEC432F">
      <w:pPr>
        <w:pStyle w:val="4"/>
      </w:pPr>
    </w:p>
    <w:tbl>
      <w:tblPr>
        <w:tblStyle w:val="19"/>
        <w:tblpPr w:leftFromText="180" w:rightFromText="180" w:vertAnchor="text" w:horzAnchor="margin" w:tblpXSpec="center" w:tblpY="3"/>
        <w:tblOverlap w:val="never"/>
        <w:tblW w:w="956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64"/>
      </w:tblGrid>
      <w:tr w14:paraId="3A045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9564" w:type="dxa"/>
            <w:noWrap w:val="0"/>
            <w:vAlign w:val="center"/>
          </w:tcPr>
          <w:p w14:paraId="4F31B2F0">
            <w:pPr>
              <w:pStyle w:val="17"/>
              <w:widowControl w:val="0"/>
              <w:adjustRightInd w:val="0"/>
              <w:snapToGrid w:val="0"/>
              <w:spacing w:before="0" w:beforeAutospacing="0" w:after="0" w:afterAutospacing="0" w:line="360" w:lineRule="auto"/>
              <w:rPr>
                <w:color w:val="auto"/>
                <w:sz w:val="24"/>
                <w:szCs w:val="24"/>
              </w:rPr>
            </w:pPr>
            <w:r>
              <w:rPr>
                <w:rFonts w:hint="eastAsia"/>
                <w:color w:val="auto"/>
                <w:sz w:val="24"/>
                <w:szCs w:val="24"/>
              </w:rPr>
              <w:t xml:space="preserve">付款方式： </w:t>
            </w:r>
          </w:p>
        </w:tc>
      </w:tr>
      <w:tr w14:paraId="51FA6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9564" w:type="dxa"/>
            <w:noWrap w:val="0"/>
            <w:vAlign w:val="center"/>
          </w:tcPr>
          <w:p w14:paraId="4502C136">
            <w:pPr>
              <w:pStyle w:val="17"/>
              <w:widowControl w:val="0"/>
              <w:adjustRightInd w:val="0"/>
              <w:snapToGrid w:val="0"/>
              <w:spacing w:before="0" w:beforeAutospacing="0" w:after="0" w:afterAutospacing="0" w:line="360" w:lineRule="auto"/>
              <w:rPr>
                <w:color w:val="auto"/>
                <w:sz w:val="24"/>
                <w:szCs w:val="24"/>
              </w:rPr>
            </w:pPr>
            <w:r>
              <w:rPr>
                <w:rFonts w:hint="eastAsia"/>
                <w:color w:val="auto"/>
                <w:sz w:val="24"/>
                <w:szCs w:val="24"/>
              </w:rPr>
              <w:t>交货日期：</w:t>
            </w:r>
          </w:p>
        </w:tc>
      </w:tr>
      <w:tr w14:paraId="5F1CB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9564" w:type="dxa"/>
            <w:noWrap w:val="0"/>
            <w:vAlign w:val="center"/>
          </w:tcPr>
          <w:p w14:paraId="51D9E675">
            <w:pPr>
              <w:pStyle w:val="17"/>
              <w:widowControl w:val="0"/>
              <w:adjustRightInd w:val="0"/>
              <w:snapToGrid w:val="0"/>
              <w:spacing w:before="0" w:beforeAutospacing="0" w:after="0" w:afterAutospacing="0" w:line="360" w:lineRule="auto"/>
              <w:rPr>
                <w:color w:val="auto"/>
                <w:sz w:val="24"/>
                <w:szCs w:val="24"/>
              </w:rPr>
            </w:pPr>
            <w:r>
              <w:rPr>
                <w:rFonts w:hint="eastAsia"/>
                <w:color w:val="auto"/>
                <w:sz w:val="24"/>
                <w:szCs w:val="24"/>
              </w:rPr>
              <w:t>备注：</w:t>
            </w:r>
          </w:p>
        </w:tc>
      </w:tr>
    </w:tbl>
    <w:p w14:paraId="0C6D3D15">
      <w:pPr>
        <w:pStyle w:val="17"/>
        <w:widowControl w:val="0"/>
        <w:adjustRightInd w:val="0"/>
        <w:snapToGrid w:val="0"/>
        <w:spacing w:before="0" w:beforeAutospacing="0" w:after="0" w:afterAutospacing="0" w:line="360" w:lineRule="auto"/>
        <w:rPr>
          <w:rFonts w:hint="eastAsia" w:cs="仿宋_GB2312"/>
          <w:color w:val="auto"/>
          <w:sz w:val="24"/>
          <w:szCs w:val="24"/>
        </w:rPr>
      </w:pPr>
    </w:p>
    <w:p w14:paraId="51D72F08">
      <w:pPr>
        <w:pStyle w:val="17"/>
        <w:widowControl w:val="0"/>
        <w:adjustRightInd w:val="0"/>
        <w:snapToGrid w:val="0"/>
        <w:spacing w:before="0" w:beforeAutospacing="0" w:after="0" w:afterAutospacing="0" w:line="360" w:lineRule="auto"/>
        <w:rPr>
          <w:rFonts w:hint="eastAsia"/>
          <w:color w:val="auto"/>
          <w:sz w:val="24"/>
          <w:szCs w:val="24"/>
        </w:rPr>
      </w:pPr>
      <w:r>
        <w:rPr>
          <w:rFonts w:hint="eastAsia"/>
          <w:color w:val="auto"/>
          <w:sz w:val="24"/>
          <w:szCs w:val="24"/>
        </w:rPr>
        <w:t>投标人授权代表（签字）：                            投标人（盖章）：</w:t>
      </w:r>
      <w:r>
        <w:rPr>
          <w:rFonts w:hint="eastAsia"/>
          <w:color w:val="auto"/>
          <w:sz w:val="24"/>
          <w:szCs w:val="24"/>
          <w:u w:val="single"/>
        </w:rPr>
        <w:t xml:space="preserve">                                    </w:t>
      </w:r>
    </w:p>
    <w:p w14:paraId="25638420">
      <w:pPr>
        <w:pStyle w:val="17"/>
        <w:widowControl w:val="0"/>
        <w:adjustRightInd w:val="0"/>
        <w:snapToGrid w:val="0"/>
        <w:spacing w:before="0" w:beforeAutospacing="0" w:after="0" w:afterAutospacing="0" w:line="360" w:lineRule="auto"/>
        <w:ind w:firstLine="480" w:firstLineChars="200"/>
        <w:rPr>
          <w:rFonts w:hint="eastAsia"/>
          <w:color w:val="auto"/>
          <w:sz w:val="24"/>
          <w:szCs w:val="24"/>
        </w:rPr>
      </w:pPr>
      <w:r>
        <w:rPr>
          <w:rFonts w:hint="eastAsia"/>
          <w:color w:val="auto"/>
          <w:sz w:val="24"/>
          <w:szCs w:val="24"/>
        </w:rPr>
        <w:t>注：1、此表应按投标人须知的规定密封单独提交；</w:t>
      </w:r>
    </w:p>
    <w:p w14:paraId="36E70DA0">
      <w:pPr>
        <w:pStyle w:val="17"/>
        <w:widowControl w:val="0"/>
        <w:numPr>
          <w:ilvl w:val="0"/>
          <w:numId w:val="2"/>
        </w:numPr>
        <w:adjustRightInd w:val="0"/>
        <w:snapToGrid w:val="0"/>
        <w:spacing w:before="0" w:beforeAutospacing="0" w:after="0" w:afterAutospacing="0" w:line="360" w:lineRule="auto"/>
        <w:rPr>
          <w:rFonts w:hint="eastAsia"/>
          <w:color w:val="auto"/>
          <w:sz w:val="24"/>
          <w:szCs w:val="24"/>
        </w:rPr>
      </w:pPr>
      <w:r>
        <w:rPr>
          <w:rFonts w:hint="eastAsia"/>
          <w:color w:val="auto"/>
          <w:sz w:val="24"/>
          <w:szCs w:val="24"/>
        </w:rPr>
        <w:t>目的地含税到货价；</w:t>
      </w:r>
    </w:p>
    <w:p w14:paraId="3AF61DCA">
      <w:pPr>
        <w:pStyle w:val="17"/>
        <w:widowControl w:val="0"/>
        <w:numPr>
          <w:ilvl w:val="0"/>
          <w:numId w:val="2"/>
        </w:numPr>
        <w:tabs>
          <w:tab w:val="left" w:pos="5841"/>
        </w:tabs>
        <w:adjustRightInd w:val="0"/>
        <w:snapToGrid w:val="0"/>
        <w:spacing w:before="0" w:beforeAutospacing="0" w:after="0" w:afterAutospacing="0" w:line="360" w:lineRule="auto"/>
        <w:rPr>
          <w:color w:val="auto"/>
          <w:sz w:val="24"/>
          <w:szCs w:val="24"/>
        </w:rPr>
      </w:pPr>
      <w:r>
        <w:rPr>
          <w:rFonts w:hint="eastAsia"/>
          <w:color w:val="auto"/>
          <w:sz w:val="24"/>
          <w:szCs w:val="24"/>
        </w:rPr>
        <w:t>谈判总价为分项报价表的价格汇总（含税及税率)。</w:t>
      </w:r>
    </w:p>
    <w:p w14:paraId="1F2D609E">
      <w:pPr>
        <w:pStyle w:val="17"/>
        <w:widowControl w:val="0"/>
        <w:tabs>
          <w:tab w:val="left" w:pos="5841"/>
        </w:tabs>
        <w:adjustRightInd w:val="0"/>
        <w:snapToGrid w:val="0"/>
        <w:spacing w:before="0" w:beforeAutospacing="0" w:after="0" w:afterAutospacing="0" w:line="360" w:lineRule="auto"/>
        <w:ind w:left="960"/>
        <w:rPr>
          <w:rFonts w:hint="eastAsia"/>
          <w:color w:val="auto"/>
          <w:sz w:val="24"/>
          <w:szCs w:val="24"/>
        </w:rPr>
      </w:pPr>
      <w:r>
        <w:rPr>
          <w:rFonts w:hint="eastAsia"/>
          <w:color w:val="auto"/>
          <w:sz w:val="24"/>
          <w:szCs w:val="24"/>
        </w:rPr>
        <w:t>4、其他优惠条件。</w:t>
      </w:r>
    </w:p>
    <w:p w14:paraId="7E815EA6">
      <w:pPr>
        <w:pStyle w:val="17"/>
        <w:widowControl w:val="0"/>
        <w:tabs>
          <w:tab w:val="left" w:pos="5841"/>
        </w:tabs>
        <w:adjustRightInd w:val="0"/>
        <w:snapToGrid w:val="0"/>
        <w:spacing w:before="0" w:beforeAutospacing="0" w:after="0" w:afterAutospacing="0" w:line="360" w:lineRule="auto"/>
        <w:ind w:left="960"/>
        <w:rPr>
          <w:color w:val="auto"/>
          <w:sz w:val="24"/>
          <w:szCs w:val="24"/>
        </w:rPr>
      </w:pPr>
      <w:r>
        <w:rPr>
          <w:rFonts w:hint="eastAsia"/>
          <w:color w:val="auto"/>
          <w:sz w:val="24"/>
          <w:szCs w:val="24"/>
        </w:rPr>
        <w:t>5、质保承诺。</w:t>
      </w:r>
    </w:p>
    <w:p w14:paraId="22DC35A2">
      <w:pPr>
        <w:pStyle w:val="17"/>
        <w:widowControl w:val="0"/>
        <w:tabs>
          <w:tab w:val="left" w:pos="5841"/>
        </w:tabs>
        <w:adjustRightInd w:val="0"/>
        <w:snapToGrid w:val="0"/>
        <w:spacing w:before="0" w:beforeAutospacing="0" w:after="0" w:afterAutospacing="0" w:line="360" w:lineRule="auto"/>
        <w:ind w:left="960"/>
        <w:rPr>
          <w:color w:val="auto"/>
          <w:sz w:val="24"/>
          <w:szCs w:val="24"/>
        </w:rPr>
      </w:pPr>
    </w:p>
    <w:p w14:paraId="1B05B1DF">
      <w:pPr>
        <w:pStyle w:val="17"/>
        <w:widowControl w:val="0"/>
        <w:tabs>
          <w:tab w:val="left" w:pos="5841"/>
        </w:tabs>
        <w:adjustRightInd w:val="0"/>
        <w:snapToGrid w:val="0"/>
        <w:spacing w:before="0" w:beforeAutospacing="0" w:after="0" w:afterAutospacing="0" w:line="360" w:lineRule="auto"/>
        <w:ind w:left="960"/>
        <w:rPr>
          <w:color w:val="auto"/>
          <w:sz w:val="24"/>
          <w:szCs w:val="24"/>
        </w:rPr>
      </w:pPr>
    </w:p>
    <w:p w14:paraId="70DF054F">
      <w:pPr>
        <w:pStyle w:val="17"/>
        <w:widowControl w:val="0"/>
        <w:tabs>
          <w:tab w:val="left" w:pos="5841"/>
        </w:tabs>
        <w:adjustRightInd w:val="0"/>
        <w:snapToGrid w:val="0"/>
        <w:spacing w:before="0" w:beforeAutospacing="0" w:after="0" w:afterAutospacing="0" w:line="360" w:lineRule="auto"/>
        <w:ind w:left="960"/>
        <w:rPr>
          <w:rFonts w:hint="eastAsia"/>
          <w:color w:val="auto"/>
          <w:sz w:val="24"/>
          <w:szCs w:val="24"/>
        </w:rPr>
      </w:pPr>
    </w:p>
    <w:p w14:paraId="7BAC7F3E">
      <w:pPr>
        <w:pStyle w:val="17"/>
        <w:widowControl w:val="0"/>
        <w:tabs>
          <w:tab w:val="left" w:pos="5841"/>
        </w:tabs>
        <w:adjustRightInd w:val="0"/>
        <w:snapToGrid w:val="0"/>
        <w:spacing w:before="0" w:beforeAutospacing="0" w:after="0" w:afterAutospacing="0" w:line="360" w:lineRule="auto"/>
        <w:ind w:left="960"/>
        <w:rPr>
          <w:color w:val="auto"/>
          <w:sz w:val="24"/>
          <w:szCs w:val="24"/>
        </w:rPr>
      </w:pPr>
    </w:p>
    <w:p w14:paraId="1EE0D24E">
      <w:pPr>
        <w:pStyle w:val="17"/>
        <w:widowControl w:val="0"/>
        <w:adjustRightInd w:val="0"/>
        <w:snapToGrid w:val="0"/>
        <w:spacing w:before="0" w:beforeAutospacing="0" w:after="0" w:afterAutospacing="0" w:line="360" w:lineRule="auto"/>
        <w:rPr>
          <w:rFonts w:cs="仿宋_GB2312"/>
          <w:b/>
          <w:color w:val="auto"/>
          <w:sz w:val="24"/>
          <w:szCs w:val="24"/>
        </w:rPr>
      </w:pPr>
      <w:bookmarkStart w:id="2" w:name="_Toc128151481"/>
      <w:r>
        <w:rPr>
          <w:rFonts w:hint="eastAsia" w:cs="仿宋_GB2312"/>
          <w:b/>
          <w:color w:val="auto"/>
          <w:sz w:val="24"/>
          <w:szCs w:val="24"/>
        </w:rPr>
        <w:t>四、投标保证金格式</w:t>
      </w:r>
      <w:bookmarkEnd w:id="2"/>
    </w:p>
    <w:p w14:paraId="24B6129A">
      <w:pPr>
        <w:pStyle w:val="17"/>
        <w:widowControl w:val="0"/>
        <w:adjustRightInd w:val="0"/>
        <w:snapToGrid w:val="0"/>
        <w:spacing w:before="0" w:beforeAutospacing="0" w:after="0" w:afterAutospacing="0" w:line="360" w:lineRule="auto"/>
        <w:rPr>
          <w:rFonts w:cs="仿宋_GB2312"/>
          <w:b/>
          <w:color w:val="auto"/>
          <w:sz w:val="24"/>
          <w:szCs w:val="24"/>
        </w:rPr>
      </w:pPr>
      <w:r>
        <w:rPr>
          <w:rFonts w:hint="eastAsia"/>
          <w:sz w:val="24"/>
          <w:szCs w:val="24"/>
        </w:rPr>
        <w:t>附电汇底单复印件加盖投标人公章</w:t>
      </w:r>
    </w:p>
    <w:p w14:paraId="36B79DFE">
      <w:pPr>
        <w:pStyle w:val="17"/>
        <w:widowControl w:val="0"/>
        <w:adjustRightInd w:val="0"/>
        <w:snapToGrid w:val="0"/>
        <w:spacing w:before="0" w:beforeAutospacing="0" w:after="0" w:afterAutospacing="0" w:line="360" w:lineRule="auto"/>
        <w:rPr>
          <w:rFonts w:hint="eastAsia" w:cs="仿宋_GB2312"/>
          <w:b/>
          <w:color w:val="auto"/>
          <w:sz w:val="24"/>
          <w:szCs w:val="24"/>
        </w:rPr>
      </w:pPr>
    </w:p>
    <w:p w14:paraId="2F8F5597">
      <w:pPr>
        <w:pStyle w:val="17"/>
        <w:widowControl w:val="0"/>
        <w:adjustRightInd w:val="0"/>
        <w:snapToGrid w:val="0"/>
        <w:spacing w:before="0" w:beforeAutospacing="0" w:after="0" w:afterAutospacing="0" w:line="360" w:lineRule="auto"/>
        <w:rPr>
          <w:rFonts w:cs="仿宋_GB2312"/>
          <w:b/>
          <w:color w:val="auto"/>
          <w:sz w:val="24"/>
          <w:szCs w:val="24"/>
        </w:rPr>
      </w:pPr>
    </w:p>
    <w:p w14:paraId="018319B3">
      <w:pPr>
        <w:pStyle w:val="17"/>
        <w:widowControl w:val="0"/>
        <w:adjustRightInd w:val="0"/>
        <w:snapToGrid w:val="0"/>
        <w:spacing w:before="0" w:beforeAutospacing="0" w:after="0" w:afterAutospacing="0" w:line="360" w:lineRule="auto"/>
        <w:rPr>
          <w:rFonts w:hint="eastAsia" w:cs="仿宋_GB2312"/>
          <w:b/>
          <w:color w:val="auto"/>
          <w:sz w:val="24"/>
          <w:szCs w:val="24"/>
        </w:rPr>
      </w:pPr>
      <w:r>
        <w:rPr>
          <w:rFonts w:hint="eastAsia" w:cs="仿宋_GB2312"/>
          <w:b/>
          <w:bCs/>
          <w:color w:val="auto"/>
          <w:sz w:val="24"/>
          <w:szCs w:val="24"/>
        </w:rPr>
        <w:t>五、</w:t>
      </w:r>
      <w:r>
        <w:rPr>
          <w:rFonts w:hint="eastAsia" w:cs="仿宋_GB2312"/>
          <w:b/>
          <w:color w:val="auto"/>
          <w:sz w:val="24"/>
          <w:szCs w:val="24"/>
        </w:rPr>
        <w:t>资质证件</w:t>
      </w:r>
    </w:p>
    <w:p w14:paraId="73BE028A">
      <w:pPr>
        <w:pStyle w:val="17"/>
        <w:widowControl w:val="0"/>
        <w:adjustRightInd w:val="0"/>
        <w:snapToGrid w:val="0"/>
        <w:spacing w:before="0" w:beforeAutospacing="0" w:after="0" w:afterAutospacing="0" w:line="360" w:lineRule="auto"/>
        <w:ind w:firstLine="470" w:firstLineChars="196"/>
        <w:rPr>
          <w:color w:val="auto"/>
          <w:sz w:val="24"/>
          <w:szCs w:val="24"/>
        </w:rPr>
      </w:pPr>
      <w:r>
        <w:rPr>
          <w:rFonts w:hint="eastAsia" w:cs="仿宋_GB2312"/>
          <w:bCs/>
          <w:color w:val="auto"/>
          <w:sz w:val="24"/>
          <w:szCs w:val="24"/>
        </w:rPr>
        <w:t>投标人提供营业执照</w:t>
      </w:r>
      <w:r>
        <w:rPr>
          <w:rFonts w:hint="eastAsia" w:cs="仿宋_GB2312"/>
          <w:bCs/>
          <w:color w:val="auto"/>
          <w:sz w:val="24"/>
          <w:szCs w:val="24"/>
          <w:lang w:eastAsia="zh-CN"/>
        </w:rPr>
        <w:t>（</w:t>
      </w:r>
      <w:r>
        <w:rPr>
          <w:rFonts w:hint="eastAsia" w:cs="仿宋_GB2312"/>
          <w:bCs/>
          <w:color w:val="auto"/>
          <w:sz w:val="24"/>
          <w:szCs w:val="24"/>
        </w:rPr>
        <w:t>三证合一</w:t>
      </w:r>
      <w:r>
        <w:rPr>
          <w:rFonts w:hint="eastAsia" w:cs="仿宋_GB2312"/>
          <w:bCs/>
          <w:color w:val="auto"/>
          <w:sz w:val="24"/>
          <w:szCs w:val="24"/>
          <w:lang w:eastAsia="zh-CN"/>
        </w:rPr>
        <w:t>）</w:t>
      </w:r>
      <w:r>
        <w:rPr>
          <w:rFonts w:hint="eastAsia" w:cs="仿宋_GB2312"/>
          <w:bCs/>
          <w:color w:val="auto"/>
          <w:sz w:val="24"/>
          <w:szCs w:val="24"/>
        </w:rPr>
        <w:t>及相关资质证明有效证件</w:t>
      </w:r>
      <w:r>
        <w:rPr>
          <w:rFonts w:hint="eastAsia"/>
          <w:color w:val="auto"/>
          <w:sz w:val="24"/>
          <w:szCs w:val="24"/>
        </w:rPr>
        <w:t>。</w:t>
      </w:r>
    </w:p>
    <w:p w14:paraId="6AB059E4">
      <w:pPr>
        <w:pStyle w:val="17"/>
        <w:widowControl w:val="0"/>
        <w:adjustRightInd w:val="0"/>
        <w:snapToGrid w:val="0"/>
        <w:spacing w:before="0" w:beforeAutospacing="0" w:after="0" w:afterAutospacing="0" w:line="360" w:lineRule="auto"/>
        <w:ind w:firstLine="470" w:firstLineChars="196"/>
        <w:rPr>
          <w:rFonts w:hint="eastAsia" w:cs="仿宋_GB2312"/>
          <w:color w:val="auto"/>
          <w:sz w:val="24"/>
          <w:szCs w:val="24"/>
        </w:rPr>
      </w:pPr>
    </w:p>
    <w:p w14:paraId="05953501">
      <w:pPr>
        <w:pStyle w:val="17"/>
        <w:widowControl w:val="0"/>
        <w:adjustRightInd w:val="0"/>
        <w:snapToGrid w:val="0"/>
        <w:spacing w:before="0" w:beforeAutospacing="0" w:after="0" w:afterAutospacing="0" w:line="360" w:lineRule="auto"/>
        <w:rPr>
          <w:rFonts w:hint="eastAsia" w:cs="仿宋_GB2312"/>
          <w:b/>
          <w:bCs/>
          <w:color w:val="auto"/>
          <w:sz w:val="24"/>
          <w:szCs w:val="24"/>
        </w:rPr>
      </w:pPr>
      <w:r>
        <w:rPr>
          <w:rFonts w:hint="eastAsia" w:cs="仿宋_GB2312"/>
          <w:b/>
          <w:bCs/>
          <w:color w:val="auto"/>
          <w:sz w:val="24"/>
          <w:szCs w:val="24"/>
        </w:rPr>
        <w:t>六、 谈判物资报告</w:t>
      </w:r>
    </w:p>
    <w:p w14:paraId="3B364DB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1、谈判物资型号、规格、技术参数和说明；</w:t>
      </w:r>
    </w:p>
    <w:p w14:paraId="5529E4C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2、谈判物资的质量标准、检测标准、测试手段；</w:t>
      </w:r>
    </w:p>
    <w:p w14:paraId="48C8483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3、对谈判物资的设计、制造、安装、测试等方面采取技术和组织措施；</w:t>
      </w:r>
    </w:p>
    <w:p w14:paraId="0E9A80E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4、交货地点、交货时间、交货方式、交货进度及运输方式；</w:t>
      </w:r>
    </w:p>
    <w:p w14:paraId="6DFB31E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5、技术服务；</w:t>
      </w:r>
    </w:p>
    <w:p w14:paraId="68A5C74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6、投标人认为有必要说明的问题。</w:t>
      </w:r>
    </w:p>
    <w:p w14:paraId="04E6DEAD">
      <w:pPr>
        <w:pStyle w:val="17"/>
        <w:widowControl w:val="0"/>
        <w:adjustRightInd w:val="0"/>
        <w:snapToGrid w:val="0"/>
        <w:spacing w:before="0" w:beforeAutospacing="0" w:after="0" w:afterAutospacing="0" w:line="360" w:lineRule="auto"/>
        <w:rPr>
          <w:rFonts w:cs="仿宋_GB2312"/>
          <w:b/>
          <w:bCs/>
          <w:color w:val="auto"/>
          <w:sz w:val="24"/>
          <w:szCs w:val="24"/>
        </w:rPr>
      </w:pPr>
    </w:p>
    <w:p w14:paraId="0293A6B1">
      <w:pPr>
        <w:pStyle w:val="17"/>
        <w:widowControl w:val="0"/>
        <w:adjustRightInd w:val="0"/>
        <w:snapToGrid w:val="0"/>
        <w:spacing w:before="0" w:beforeAutospacing="0" w:after="0" w:afterAutospacing="0" w:line="360" w:lineRule="auto"/>
        <w:rPr>
          <w:rFonts w:cs="仿宋_GB2312"/>
          <w:b/>
          <w:bCs/>
          <w:color w:val="auto"/>
          <w:sz w:val="24"/>
          <w:szCs w:val="24"/>
        </w:rPr>
      </w:pPr>
    </w:p>
    <w:p w14:paraId="6DFBCDF8">
      <w:pPr>
        <w:pStyle w:val="17"/>
        <w:widowControl w:val="0"/>
        <w:adjustRightInd w:val="0"/>
        <w:snapToGrid w:val="0"/>
        <w:spacing w:before="0" w:beforeAutospacing="0" w:after="0" w:afterAutospacing="0" w:line="360" w:lineRule="auto"/>
        <w:rPr>
          <w:rFonts w:cs="仿宋_GB2312"/>
          <w:b/>
          <w:bCs/>
          <w:color w:val="auto"/>
          <w:sz w:val="24"/>
          <w:szCs w:val="24"/>
        </w:rPr>
      </w:pPr>
    </w:p>
    <w:p w14:paraId="48361E95">
      <w:pPr>
        <w:pStyle w:val="17"/>
        <w:widowControl w:val="0"/>
        <w:adjustRightInd w:val="0"/>
        <w:snapToGrid w:val="0"/>
        <w:spacing w:before="0" w:beforeAutospacing="0" w:after="0" w:afterAutospacing="0" w:line="360" w:lineRule="auto"/>
        <w:rPr>
          <w:rFonts w:cs="仿宋_GB2312"/>
          <w:b/>
          <w:bCs/>
          <w:color w:val="auto"/>
          <w:sz w:val="24"/>
          <w:szCs w:val="24"/>
        </w:rPr>
      </w:pPr>
    </w:p>
    <w:p w14:paraId="4158F61B">
      <w:pPr>
        <w:pStyle w:val="17"/>
        <w:widowControl w:val="0"/>
        <w:adjustRightInd w:val="0"/>
        <w:snapToGrid w:val="0"/>
        <w:spacing w:before="0" w:beforeAutospacing="0" w:after="0" w:afterAutospacing="0" w:line="360" w:lineRule="auto"/>
        <w:rPr>
          <w:rFonts w:cs="仿宋_GB2312"/>
          <w:b/>
          <w:bCs/>
          <w:color w:val="auto"/>
          <w:sz w:val="24"/>
          <w:szCs w:val="24"/>
        </w:rPr>
      </w:pPr>
    </w:p>
    <w:p w14:paraId="18E24878">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4AC0A8AA">
      <w:pPr>
        <w:pStyle w:val="17"/>
        <w:widowControl w:val="0"/>
        <w:adjustRightInd w:val="0"/>
        <w:snapToGrid w:val="0"/>
        <w:spacing w:before="0" w:beforeAutospacing="0" w:after="0" w:afterAutospacing="0" w:line="360" w:lineRule="auto"/>
        <w:rPr>
          <w:rFonts w:cs="仿宋_GB2312"/>
          <w:b/>
          <w:bCs/>
          <w:color w:val="auto"/>
          <w:sz w:val="24"/>
          <w:szCs w:val="24"/>
        </w:rPr>
      </w:pPr>
    </w:p>
    <w:p w14:paraId="14AA3A63">
      <w:pPr>
        <w:pStyle w:val="17"/>
        <w:widowControl w:val="0"/>
        <w:adjustRightInd w:val="0"/>
        <w:snapToGrid w:val="0"/>
        <w:spacing w:before="0" w:beforeAutospacing="0" w:after="0" w:afterAutospacing="0" w:line="360" w:lineRule="auto"/>
        <w:rPr>
          <w:rFonts w:cs="仿宋_GB2312"/>
          <w:b/>
          <w:bCs/>
          <w:color w:val="auto"/>
          <w:sz w:val="24"/>
          <w:szCs w:val="24"/>
        </w:rPr>
      </w:pPr>
    </w:p>
    <w:p w14:paraId="028003F0">
      <w:pPr>
        <w:pStyle w:val="17"/>
        <w:widowControl w:val="0"/>
        <w:adjustRightInd w:val="0"/>
        <w:snapToGrid w:val="0"/>
        <w:spacing w:before="0" w:beforeAutospacing="0" w:after="0" w:afterAutospacing="0" w:line="360" w:lineRule="auto"/>
        <w:rPr>
          <w:rFonts w:cs="仿宋_GB2312"/>
          <w:b/>
          <w:bCs/>
          <w:color w:val="auto"/>
          <w:sz w:val="24"/>
          <w:szCs w:val="24"/>
        </w:rPr>
      </w:pPr>
    </w:p>
    <w:p w14:paraId="561C7C49">
      <w:pPr>
        <w:pStyle w:val="17"/>
        <w:widowControl w:val="0"/>
        <w:adjustRightInd w:val="0"/>
        <w:snapToGrid w:val="0"/>
        <w:spacing w:before="0" w:beforeAutospacing="0" w:after="0" w:afterAutospacing="0" w:line="360" w:lineRule="auto"/>
        <w:rPr>
          <w:rFonts w:cs="仿宋_GB2312"/>
          <w:b/>
          <w:bCs/>
          <w:color w:val="auto"/>
          <w:sz w:val="24"/>
          <w:szCs w:val="24"/>
        </w:rPr>
      </w:pPr>
    </w:p>
    <w:p w14:paraId="6E7B00CD">
      <w:pPr>
        <w:pStyle w:val="17"/>
        <w:widowControl w:val="0"/>
        <w:adjustRightInd w:val="0"/>
        <w:snapToGrid w:val="0"/>
        <w:spacing w:before="0" w:beforeAutospacing="0" w:after="0" w:afterAutospacing="0" w:line="360" w:lineRule="auto"/>
        <w:rPr>
          <w:rFonts w:cs="仿宋_GB2312"/>
          <w:b/>
          <w:bCs/>
          <w:color w:val="auto"/>
          <w:sz w:val="24"/>
          <w:szCs w:val="24"/>
        </w:rPr>
      </w:pPr>
    </w:p>
    <w:p w14:paraId="31E72B79">
      <w:pPr>
        <w:pStyle w:val="17"/>
        <w:widowControl w:val="0"/>
        <w:adjustRightInd w:val="0"/>
        <w:snapToGrid w:val="0"/>
        <w:spacing w:before="0" w:beforeAutospacing="0" w:after="0" w:afterAutospacing="0" w:line="360" w:lineRule="auto"/>
        <w:rPr>
          <w:rFonts w:cs="仿宋_GB2312"/>
          <w:b/>
          <w:bCs/>
          <w:color w:val="auto"/>
          <w:sz w:val="24"/>
          <w:szCs w:val="24"/>
        </w:rPr>
      </w:pPr>
    </w:p>
    <w:p w14:paraId="2347F151">
      <w:pPr>
        <w:pStyle w:val="17"/>
        <w:widowControl w:val="0"/>
        <w:adjustRightInd w:val="0"/>
        <w:snapToGrid w:val="0"/>
        <w:spacing w:before="0" w:beforeAutospacing="0" w:after="0" w:afterAutospacing="0" w:line="360" w:lineRule="auto"/>
        <w:rPr>
          <w:rFonts w:cs="仿宋_GB2312"/>
          <w:b/>
          <w:bCs/>
          <w:color w:val="auto"/>
          <w:sz w:val="24"/>
          <w:szCs w:val="24"/>
        </w:rPr>
      </w:pPr>
    </w:p>
    <w:p w14:paraId="664D700C">
      <w:pPr>
        <w:pStyle w:val="17"/>
        <w:widowControl w:val="0"/>
        <w:adjustRightInd w:val="0"/>
        <w:snapToGrid w:val="0"/>
        <w:spacing w:before="0" w:beforeAutospacing="0" w:after="0" w:afterAutospacing="0" w:line="360" w:lineRule="auto"/>
        <w:rPr>
          <w:rFonts w:cs="仿宋_GB2312"/>
          <w:b/>
          <w:bCs/>
          <w:color w:val="auto"/>
          <w:sz w:val="24"/>
          <w:szCs w:val="24"/>
        </w:rPr>
      </w:pPr>
    </w:p>
    <w:p w14:paraId="5861221C">
      <w:pPr>
        <w:pStyle w:val="17"/>
        <w:widowControl w:val="0"/>
        <w:adjustRightInd w:val="0"/>
        <w:snapToGrid w:val="0"/>
        <w:spacing w:before="0" w:beforeAutospacing="0" w:after="0" w:afterAutospacing="0" w:line="360" w:lineRule="auto"/>
        <w:rPr>
          <w:rFonts w:cs="仿宋_GB2312"/>
          <w:b/>
          <w:bCs/>
          <w:color w:val="auto"/>
          <w:sz w:val="24"/>
          <w:szCs w:val="24"/>
        </w:rPr>
      </w:pPr>
    </w:p>
    <w:p w14:paraId="1F3B6762">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10430DF3">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56ED1CE9">
      <w:pPr>
        <w:pStyle w:val="17"/>
        <w:widowControl w:val="0"/>
        <w:adjustRightInd w:val="0"/>
        <w:snapToGrid w:val="0"/>
        <w:spacing w:before="0" w:beforeAutospacing="0" w:after="0" w:afterAutospacing="0" w:line="360" w:lineRule="auto"/>
        <w:rPr>
          <w:rFonts w:hint="eastAsia" w:cs="仿宋_GB2312"/>
          <w:b/>
          <w:bCs/>
          <w:color w:val="auto"/>
          <w:sz w:val="24"/>
          <w:szCs w:val="24"/>
        </w:rPr>
      </w:pPr>
      <w:r>
        <w:rPr>
          <w:rFonts w:hint="eastAsia" w:cs="仿宋_GB2312"/>
          <w:b/>
          <w:bCs/>
          <w:color w:val="auto"/>
          <w:sz w:val="24"/>
          <w:szCs w:val="24"/>
        </w:rPr>
        <w:t>七、偏离表</w:t>
      </w:r>
    </w:p>
    <w:p w14:paraId="2DE72B42">
      <w:pPr>
        <w:pStyle w:val="17"/>
        <w:widowControl w:val="0"/>
        <w:adjustRightInd w:val="0"/>
        <w:snapToGrid w:val="0"/>
        <w:spacing w:before="0" w:beforeAutospacing="0" w:after="0" w:afterAutospacing="0" w:line="360" w:lineRule="auto"/>
        <w:ind w:firstLine="480" w:firstLineChars="200"/>
        <w:rPr>
          <w:rFonts w:hint="eastAsia" w:cs="仿宋_GB2312"/>
          <w:b/>
          <w:color w:val="auto"/>
          <w:sz w:val="24"/>
          <w:szCs w:val="24"/>
        </w:rPr>
      </w:pPr>
      <w:r>
        <w:rPr>
          <w:rFonts w:hint="eastAsia" w:cs="仿宋_GB2312"/>
          <w:color w:val="auto"/>
          <w:sz w:val="24"/>
          <w:szCs w:val="24"/>
        </w:rPr>
        <w:t>（1） 技术规格偏离表</w:t>
      </w:r>
    </w:p>
    <w:tbl>
      <w:tblPr>
        <w:tblStyle w:val="19"/>
        <w:tblW w:w="0" w:type="auto"/>
        <w:tblInd w:w="2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8"/>
        <w:gridCol w:w="1527"/>
        <w:gridCol w:w="1815"/>
        <w:gridCol w:w="1260"/>
        <w:gridCol w:w="1365"/>
        <w:gridCol w:w="1005"/>
        <w:gridCol w:w="1275"/>
      </w:tblGrid>
      <w:tr w14:paraId="16EE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858" w:type="dxa"/>
            <w:noWrap w:val="0"/>
            <w:vAlign w:val="bottom"/>
          </w:tcPr>
          <w:p w14:paraId="5D9F7AF5">
            <w:pPr>
              <w:spacing w:line="360" w:lineRule="auto"/>
              <w:jc w:val="center"/>
              <w:rPr>
                <w:rFonts w:hint="eastAsia" w:ascii="宋体" w:hAnsi="宋体" w:cs="宋体"/>
                <w:sz w:val="24"/>
              </w:rPr>
            </w:pPr>
            <w:r>
              <w:rPr>
                <w:rFonts w:hint="eastAsia" w:ascii="宋体" w:hAnsi="宋体" w:cs="宋体"/>
                <w:sz w:val="24"/>
              </w:rPr>
              <w:t>序号</w:t>
            </w:r>
          </w:p>
        </w:tc>
        <w:tc>
          <w:tcPr>
            <w:tcW w:w="1527" w:type="dxa"/>
            <w:noWrap w:val="0"/>
            <w:vAlign w:val="bottom"/>
          </w:tcPr>
          <w:p w14:paraId="772F98CA">
            <w:pPr>
              <w:spacing w:line="360" w:lineRule="auto"/>
              <w:jc w:val="center"/>
              <w:rPr>
                <w:rFonts w:hint="eastAsia" w:ascii="宋体" w:hAnsi="宋体" w:cs="宋体"/>
                <w:sz w:val="24"/>
              </w:rPr>
            </w:pPr>
            <w:r>
              <w:rPr>
                <w:rFonts w:hint="eastAsia" w:ascii="宋体" w:hAnsi="宋体" w:cs="宋体"/>
                <w:sz w:val="24"/>
              </w:rPr>
              <w:t>物资名称</w:t>
            </w:r>
          </w:p>
        </w:tc>
        <w:tc>
          <w:tcPr>
            <w:tcW w:w="1815" w:type="dxa"/>
            <w:noWrap w:val="0"/>
            <w:vAlign w:val="bottom"/>
          </w:tcPr>
          <w:p w14:paraId="758FC494">
            <w:pPr>
              <w:spacing w:line="360" w:lineRule="auto"/>
              <w:jc w:val="center"/>
              <w:rPr>
                <w:rFonts w:hint="eastAsia" w:ascii="宋体" w:hAnsi="宋体" w:cs="宋体"/>
                <w:sz w:val="24"/>
              </w:rPr>
            </w:pPr>
            <w:r>
              <w:rPr>
                <w:rFonts w:hint="eastAsia" w:ascii="宋体" w:hAnsi="宋体" w:cs="宋体"/>
                <w:sz w:val="24"/>
              </w:rPr>
              <w:t>采购文件条目号</w:t>
            </w:r>
          </w:p>
        </w:tc>
        <w:tc>
          <w:tcPr>
            <w:tcW w:w="1260" w:type="dxa"/>
            <w:noWrap w:val="0"/>
            <w:vAlign w:val="bottom"/>
          </w:tcPr>
          <w:p w14:paraId="4F0EDC81">
            <w:pPr>
              <w:spacing w:line="360" w:lineRule="auto"/>
              <w:jc w:val="center"/>
              <w:rPr>
                <w:rFonts w:hint="eastAsia" w:ascii="宋体" w:hAnsi="宋体" w:cs="宋体"/>
                <w:sz w:val="24"/>
              </w:rPr>
            </w:pPr>
            <w:r>
              <w:rPr>
                <w:rFonts w:hint="eastAsia" w:ascii="宋体" w:hAnsi="宋体" w:cs="宋体"/>
                <w:sz w:val="24"/>
              </w:rPr>
              <w:t>采购规格</w:t>
            </w:r>
          </w:p>
        </w:tc>
        <w:tc>
          <w:tcPr>
            <w:tcW w:w="1365" w:type="dxa"/>
            <w:noWrap w:val="0"/>
            <w:vAlign w:val="bottom"/>
          </w:tcPr>
          <w:p w14:paraId="345E86AD">
            <w:pPr>
              <w:spacing w:line="360" w:lineRule="auto"/>
              <w:jc w:val="center"/>
              <w:rPr>
                <w:rFonts w:hint="eastAsia" w:ascii="宋体" w:hAnsi="宋体" w:cs="宋体"/>
                <w:sz w:val="24"/>
              </w:rPr>
            </w:pPr>
            <w:r>
              <w:rPr>
                <w:rFonts w:hint="eastAsia" w:ascii="宋体" w:hAnsi="宋体" w:cs="宋体"/>
                <w:sz w:val="24"/>
              </w:rPr>
              <w:t>谈判规格</w:t>
            </w:r>
          </w:p>
        </w:tc>
        <w:tc>
          <w:tcPr>
            <w:tcW w:w="1005" w:type="dxa"/>
            <w:noWrap w:val="0"/>
            <w:vAlign w:val="bottom"/>
          </w:tcPr>
          <w:p w14:paraId="5FF19DD9">
            <w:pPr>
              <w:spacing w:line="360" w:lineRule="auto"/>
              <w:jc w:val="center"/>
              <w:rPr>
                <w:rFonts w:hint="eastAsia" w:ascii="宋体" w:hAnsi="宋体" w:cs="宋体"/>
                <w:sz w:val="24"/>
              </w:rPr>
            </w:pPr>
            <w:r>
              <w:rPr>
                <w:rFonts w:hint="eastAsia" w:ascii="宋体" w:hAnsi="宋体" w:cs="宋体"/>
                <w:sz w:val="24"/>
              </w:rPr>
              <w:t>偏离</w:t>
            </w:r>
          </w:p>
        </w:tc>
        <w:tc>
          <w:tcPr>
            <w:tcW w:w="1275" w:type="dxa"/>
            <w:noWrap w:val="0"/>
            <w:vAlign w:val="bottom"/>
          </w:tcPr>
          <w:p w14:paraId="7C826A6A">
            <w:pPr>
              <w:spacing w:line="360" w:lineRule="auto"/>
              <w:jc w:val="center"/>
              <w:rPr>
                <w:rFonts w:hint="eastAsia" w:ascii="宋体" w:hAnsi="宋体" w:cs="宋体"/>
                <w:sz w:val="24"/>
              </w:rPr>
            </w:pPr>
            <w:r>
              <w:rPr>
                <w:rFonts w:hint="eastAsia" w:ascii="宋体" w:hAnsi="宋体" w:cs="宋体"/>
                <w:sz w:val="24"/>
              </w:rPr>
              <w:t>说明</w:t>
            </w:r>
          </w:p>
        </w:tc>
      </w:tr>
      <w:tr w14:paraId="72BB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858" w:type="dxa"/>
            <w:noWrap w:val="0"/>
            <w:vAlign w:val="top"/>
          </w:tcPr>
          <w:p w14:paraId="66817E3C">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27" w:type="dxa"/>
            <w:noWrap w:val="0"/>
            <w:vAlign w:val="top"/>
          </w:tcPr>
          <w:p w14:paraId="35722D8D">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815" w:type="dxa"/>
            <w:noWrap w:val="0"/>
            <w:vAlign w:val="top"/>
          </w:tcPr>
          <w:p w14:paraId="6EEA24A9">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60" w:type="dxa"/>
            <w:noWrap w:val="0"/>
            <w:vAlign w:val="top"/>
          </w:tcPr>
          <w:p w14:paraId="3870981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365" w:type="dxa"/>
            <w:noWrap w:val="0"/>
            <w:vAlign w:val="top"/>
          </w:tcPr>
          <w:p w14:paraId="63750A04">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005" w:type="dxa"/>
            <w:noWrap w:val="0"/>
            <w:vAlign w:val="top"/>
          </w:tcPr>
          <w:p w14:paraId="2B1B73B6">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75" w:type="dxa"/>
            <w:noWrap w:val="0"/>
            <w:vAlign w:val="top"/>
          </w:tcPr>
          <w:p w14:paraId="51921DC1">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r w14:paraId="4797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858" w:type="dxa"/>
            <w:noWrap w:val="0"/>
            <w:vAlign w:val="top"/>
          </w:tcPr>
          <w:p w14:paraId="22EB2835">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27" w:type="dxa"/>
            <w:noWrap w:val="0"/>
            <w:vAlign w:val="top"/>
          </w:tcPr>
          <w:p w14:paraId="684B961B">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815" w:type="dxa"/>
            <w:noWrap w:val="0"/>
            <w:vAlign w:val="top"/>
          </w:tcPr>
          <w:p w14:paraId="6FA1A390">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60" w:type="dxa"/>
            <w:noWrap w:val="0"/>
            <w:vAlign w:val="top"/>
          </w:tcPr>
          <w:p w14:paraId="5B89618F">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365" w:type="dxa"/>
            <w:noWrap w:val="0"/>
            <w:vAlign w:val="top"/>
          </w:tcPr>
          <w:p w14:paraId="115F528E">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005" w:type="dxa"/>
            <w:noWrap w:val="0"/>
            <w:vAlign w:val="top"/>
          </w:tcPr>
          <w:p w14:paraId="34DF3ED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75" w:type="dxa"/>
            <w:noWrap w:val="0"/>
            <w:vAlign w:val="top"/>
          </w:tcPr>
          <w:p w14:paraId="40CE5DF3">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bl>
    <w:p w14:paraId="3E38E67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注：投标人应在技术规格说明书中详细列出谈判物资的技术性能和主要技术参数，如投标人递交的技术规格书中与采购文件的技术规格书中的要求有不同时，应逐条列在技术偏离表中，否则将认为投标人接受采购文件技术规格书中的要求。</w:t>
      </w:r>
    </w:p>
    <w:p w14:paraId="7D7E8284">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投标人授权代表（签字）：</w:t>
      </w:r>
      <w:r>
        <w:rPr>
          <w:rFonts w:hint="eastAsia" w:cs="仿宋_GB2312"/>
          <w:color w:val="auto"/>
          <w:sz w:val="24"/>
          <w:szCs w:val="24"/>
          <w:u w:val="single"/>
        </w:rPr>
        <w:t xml:space="preserve"> </w:t>
      </w:r>
    </w:p>
    <w:p w14:paraId="4D87E21E">
      <w:pPr>
        <w:pStyle w:val="17"/>
        <w:widowControl w:val="0"/>
        <w:adjustRightInd w:val="0"/>
        <w:snapToGrid w:val="0"/>
        <w:spacing w:before="0" w:beforeAutospacing="0" w:after="0" w:afterAutospacing="0" w:line="360" w:lineRule="auto"/>
        <w:ind w:firstLine="480" w:firstLineChars="200"/>
        <w:rPr>
          <w:rFonts w:cs="仿宋_GB2312"/>
          <w:color w:val="auto"/>
          <w:sz w:val="24"/>
          <w:szCs w:val="24"/>
          <w:u w:val="single"/>
        </w:rPr>
      </w:pPr>
      <w:r>
        <w:rPr>
          <w:rFonts w:hint="eastAsia" w:cs="仿宋_GB2312"/>
          <w:color w:val="auto"/>
          <w:sz w:val="24"/>
          <w:szCs w:val="24"/>
        </w:rPr>
        <w:t xml:space="preserve">投标人（盖章）： </w:t>
      </w:r>
      <w:r>
        <w:rPr>
          <w:rFonts w:hint="eastAsia" w:cs="仿宋_GB2312"/>
          <w:color w:val="auto"/>
          <w:sz w:val="24"/>
          <w:szCs w:val="24"/>
          <w:u w:val="single"/>
        </w:rPr>
        <w:t xml:space="preserve"> </w:t>
      </w:r>
    </w:p>
    <w:p w14:paraId="7DA11EF5">
      <w:pPr>
        <w:pStyle w:val="17"/>
        <w:widowControl w:val="0"/>
        <w:adjustRightInd w:val="0"/>
        <w:snapToGrid w:val="0"/>
        <w:spacing w:before="0" w:beforeAutospacing="0" w:after="0" w:afterAutospacing="0" w:line="360" w:lineRule="auto"/>
        <w:ind w:firstLine="480" w:firstLineChars="200"/>
        <w:rPr>
          <w:rFonts w:cs="仿宋_GB2312"/>
          <w:color w:val="auto"/>
          <w:sz w:val="24"/>
          <w:szCs w:val="24"/>
          <w:u w:val="single"/>
        </w:rPr>
      </w:pPr>
      <w:r>
        <w:rPr>
          <w:rFonts w:hint="eastAsia" w:cs="仿宋_GB2312"/>
          <w:color w:val="auto"/>
          <w:sz w:val="24"/>
          <w:szCs w:val="24"/>
          <w:u w:val="single"/>
        </w:rPr>
        <w:t xml:space="preserve">                      </w:t>
      </w:r>
    </w:p>
    <w:p w14:paraId="4C339ADD">
      <w:pPr>
        <w:pStyle w:val="17"/>
        <w:widowControl w:val="0"/>
        <w:adjustRightInd w:val="0"/>
        <w:snapToGrid w:val="0"/>
        <w:spacing w:before="0" w:beforeAutospacing="0" w:after="0" w:afterAutospacing="0" w:line="360" w:lineRule="auto"/>
        <w:ind w:firstLine="360" w:firstLineChars="150"/>
        <w:rPr>
          <w:rFonts w:hint="eastAsia" w:cs="仿宋_GB2312"/>
          <w:color w:val="auto"/>
          <w:sz w:val="24"/>
          <w:szCs w:val="24"/>
        </w:rPr>
      </w:pPr>
      <w:r>
        <w:rPr>
          <w:rFonts w:hint="eastAsia" w:cs="仿宋_GB2312"/>
          <w:color w:val="auto"/>
          <w:sz w:val="24"/>
          <w:szCs w:val="24"/>
        </w:rPr>
        <w:t>（2）商务条款偏离表</w:t>
      </w:r>
    </w:p>
    <w:tbl>
      <w:tblPr>
        <w:tblStyle w:val="19"/>
        <w:tblW w:w="0" w:type="auto"/>
        <w:tblInd w:w="2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2"/>
        <w:gridCol w:w="1988"/>
        <w:gridCol w:w="2445"/>
        <w:gridCol w:w="2475"/>
        <w:gridCol w:w="1530"/>
      </w:tblGrid>
      <w:tr w14:paraId="5020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652" w:type="dxa"/>
            <w:noWrap w:val="0"/>
            <w:vAlign w:val="center"/>
          </w:tcPr>
          <w:p w14:paraId="3D1B64EB">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序号</w:t>
            </w:r>
          </w:p>
        </w:tc>
        <w:tc>
          <w:tcPr>
            <w:tcW w:w="1988" w:type="dxa"/>
            <w:noWrap w:val="0"/>
            <w:vAlign w:val="center"/>
          </w:tcPr>
          <w:p w14:paraId="2AC595AC">
            <w:pPr>
              <w:pStyle w:val="17"/>
              <w:widowControl w:val="0"/>
              <w:adjustRightInd w:val="0"/>
              <w:snapToGrid w:val="0"/>
              <w:spacing w:before="0" w:beforeAutospacing="0" w:after="0" w:afterAutospacing="0" w:line="360" w:lineRule="auto"/>
              <w:ind w:left="0" w:leftChars="-2" w:hanging="4" w:hangingChars="2"/>
              <w:jc w:val="center"/>
              <w:rPr>
                <w:rFonts w:hint="eastAsia" w:cs="仿宋_GB2312"/>
                <w:color w:val="auto"/>
                <w:sz w:val="24"/>
                <w:szCs w:val="24"/>
              </w:rPr>
            </w:pPr>
            <w:r>
              <w:rPr>
                <w:rFonts w:hint="eastAsia" w:cs="仿宋_GB2312"/>
                <w:color w:val="auto"/>
                <w:sz w:val="24"/>
                <w:szCs w:val="24"/>
              </w:rPr>
              <w:t>采购文件条目号</w:t>
            </w:r>
          </w:p>
        </w:tc>
        <w:tc>
          <w:tcPr>
            <w:tcW w:w="2445" w:type="dxa"/>
            <w:noWrap w:val="0"/>
            <w:vAlign w:val="center"/>
          </w:tcPr>
          <w:p w14:paraId="7B39A597">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采购文件的商务条款</w:t>
            </w:r>
          </w:p>
        </w:tc>
        <w:tc>
          <w:tcPr>
            <w:tcW w:w="2475" w:type="dxa"/>
            <w:noWrap w:val="0"/>
            <w:vAlign w:val="center"/>
          </w:tcPr>
          <w:p w14:paraId="5B0197EE">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谈判文件的商务条款</w:t>
            </w:r>
          </w:p>
        </w:tc>
        <w:tc>
          <w:tcPr>
            <w:tcW w:w="1530" w:type="dxa"/>
            <w:noWrap w:val="0"/>
            <w:vAlign w:val="center"/>
          </w:tcPr>
          <w:p w14:paraId="7EFCEDA5">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说   明</w:t>
            </w:r>
          </w:p>
        </w:tc>
      </w:tr>
      <w:tr w14:paraId="06D8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652" w:type="dxa"/>
            <w:noWrap w:val="0"/>
            <w:vAlign w:val="top"/>
          </w:tcPr>
          <w:p w14:paraId="346C98F6">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988" w:type="dxa"/>
            <w:noWrap w:val="0"/>
            <w:vAlign w:val="top"/>
          </w:tcPr>
          <w:p w14:paraId="6AFCE63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45" w:type="dxa"/>
            <w:noWrap w:val="0"/>
            <w:vAlign w:val="top"/>
          </w:tcPr>
          <w:p w14:paraId="691B9E9C">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75" w:type="dxa"/>
            <w:noWrap w:val="0"/>
            <w:vAlign w:val="top"/>
          </w:tcPr>
          <w:p w14:paraId="359BAC0F">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30" w:type="dxa"/>
            <w:noWrap w:val="0"/>
            <w:vAlign w:val="top"/>
          </w:tcPr>
          <w:p w14:paraId="5449A885">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r w14:paraId="49578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652" w:type="dxa"/>
            <w:noWrap w:val="0"/>
            <w:vAlign w:val="top"/>
          </w:tcPr>
          <w:p w14:paraId="0E617076">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988" w:type="dxa"/>
            <w:noWrap w:val="0"/>
            <w:vAlign w:val="top"/>
          </w:tcPr>
          <w:p w14:paraId="1847E9D4">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45" w:type="dxa"/>
            <w:noWrap w:val="0"/>
            <w:vAlign w:val="top"/>
          </w:tcPr>
          <w:p w14:paraId="2489702F">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75" w:type="dxa"/>
            <w:noWrap w:val="0"/>
            <w:vAlign w:val="top"/>
          </w:tcPr>
          <w:p w14:paraId="13780DC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30" w:type="dxa"/>
            <w:noWrap w:val="0"/>
            <w:vAlign w:val="top"/>
          </w:tcPr>
          <w:p w14:paraId="4FC11169">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bl>
    <w:p w14:paraId="4F33DFB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注：投标人递交的谈判文件中与采购文件的商务部分的要求有不同时，应逐条列在商务偏离表中，否则将认为投标人接受采购文件的要求。</w:t>
      </w:r>
    </w:p>
    <w:p w14:paraId="5009E74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u w:val="single"/>
        </w:rPr>
      </w:pPr>
      <w:r>
        <w:rPr>
          <w:rFonts w:hint="eastAsia" w:cs="仿宋_GB2312"/>
          <w:color w:val="auto"/>
          <w:sz w:val="24"/>
          <w:szCs w:val="24"/>
        </w:rPr>
        <w:t xml:space="preserve">投标人授权代表（签字）： </w:t>
      </w:r>
      <w:r>
        <w:rPr>
          <w:rFonts w:hint="eastAsia" w:cs="仿宋_GB2312"/>
          <w:color w:val="auto"/>
          <w:sz w:val="24"/>
          <w:szCs w:val="24"/>
          <w:u w:val="single"/>
        </w:rPr>
        <w:t xml:space="preserve">   </w:t>
      </w:r>
    </w:p>
    <w:p w14:paraId="50BABFE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投标人（盖章）：</w:t>
      </w:r>
    </w:p>
    <w:p w14:paraId="31F4D94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798BEBB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5E1131F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1439FAF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07661E9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03F9C1D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3CA78D7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2A207ED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2C36CBA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6340FB6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77D40EDA">
      <w:pPr>
        <w:pStyle w:val="17"/>
        <w:widowControl w:val="0"/>
        <w:adjustRightInd w:val="0"/>
        <w:snapToGrid w:val="0"/>
        <w:spacing w:before="0" w:beforeAutospacing="0" w:after="0" w:afterAutospacing="0" w:line="360" w:lineRule="auto"/>
        <w:rPr>
          <w:rFonts w:cs="仿宋_GB2312"/>
          <w:b/>
          <w:bCs/>
          <w:color w:val="auto"/>
          <w:sz w:val="24"/>
          <w:szCs w:val="24"/>
        </w:rPr>
      </w:pPr>
    </w:p>
    <w:p w14:paraId="4E79F4DD">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33433532">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371990FF">
      <w:pPr>
        <w:pStyle w:val="17"/>
        <w:widowControl w:val="0"/>
        <w:adjustRightInd w:val="0"/>
        <w:snapToGrid w:val="0"/>
        <w:spacing w:before="0" w:beforeAutospacing="0" w:after="0" w:afterAutospacing="0" w:line="360" w:lineRule="auto"/>
        <w:rPr>
          <w:rFonts w:hint="eastAsia" w:cs="仿宋_GB2312"/>
          <w:b/>
          <w:bCs/>
          <w:color w:val="auto"/>
          <w:sz w:val="24"/>
          <w:szCs w:val="24"/>
        </w:rPr>
      </w:pPr>
      <w:r>
        <w:rPr>
          <w:rFonts w:hint="eastAsia" w:cs="仿宋_GB2312"/>
          <w:b/>
          <w:bCs/>
          <w:color w:val="auto"/>
          <w:sz w:val="24"/>
          <w:szCs w:val="24"/>
        </w:rPr>
        <w:t>八、授权书</w:t>
      </w:r>
    </w:p>
    <w:p w14:paraId="03CF9AE5">
      <w:pPr>
        <w:pStyle w:val="17"/>
        <w:widowControl w:val="0"/>
        <w:adjustRightInd w:val="0"/>
        <w:snapToGrid w:val="0"/>
        <w:spacing w:before="0" w:beforeAutospacing="0" w:after="0" w:afterAutospacing="0" w:line="360" w:lineRule="auto"/>
        <w:jc w:val="center"/>
        <w:rPr>
          <w:rFonts w:hint="eastAsia" w:cs="仿宋_GB2312"/>
          <w:b/>
          <w:bCs/>
          <w:sz w:val="32"/>
          <w:szCs w:val="32"/>
        </w:rPr>
      </w:pPr>
      <w:r>
        <w:rPr>
          <w:rFonts w:hint="eastAsia" w:cs="仿宋_GB2312"/>
          <w:b/>
          <w:bCs/>
          <w:sz w:val="32"/>
          <w:szCs w:val="32"/>
        </w:rPr>
        <w:t>法定代表人授权书</w:t>
      </w:r>
    </w:p>
    <w:p w14:paraId="059813DF">
      <w:pPr>
        <w:pStyle w:val="17"/>
        <w:widowControl w:val="0"/>
        <w:adjustRightInd w:val="0"/>
        <w:snapToGrid w:val="0"/>
        <w:spacing w:before="0" w:beforeAutospacing="0" w:after="0" w:afterAutospacing="0" w:line="360" w:lineRule="auto"/>
        <w:rPr>
          <w:rFonts w:hint="eastAsia" w:cs="仿宋_GB2312"/>
          <w:sz w:val="24"/>
          <w:szCs w:val="24"/>
        </w:rPr>
      </w:pPr>
      <w:r>
        <w:rPr>
          <w:rFonts w:cs="仿宋_GB2312"/>
          <w:sz w:val="24"/>
          <w:szCs w:val="24"/>
          <w:u w:val="single"/>
        </w:rPr>
        <w:t>山西煤机装备制造有限责任公司</w:t>
      </w:r>
      <w:r>
        <w:rPr>
          <w:rFonts w:hint="eastAsia" w:cs="仿宋_GB2312"/>
          <w:sz w:val="24"/>
          <w:szCs w:val="24"/>
        </w:rPr>
        <w:t>：</w:t>
      </w:r>
    </w:p>
    <w:p w14:paraId="37EBBB63">
      <w:pPr>
        <w:pStyle w:val="17"/>
        <w:widowControl w:val="0"/>
        <w:adjustRightInd w:val="0"/>
        <w:snapToGrid w:val="0"/>
        <w:spacing w:before="0" w:beforeAutospacing="0" w:after="0" w:afterAutospacing="0" w:line="360" w:lineRule="auto"/>
        <w:ind w:firstLine="480" w:firstLineChars="200"/>
        <w:rPr>
          <w:rFonts w:hint="eastAsia" w:cs="仿宋_GB2312"/>
          <w:sz w:val="24"/>
          <w:szCs w:val="24"/>
        </w:rPr>
      </w:pPr>
      <w:r>
        <w:rPr>
          <w:rFonts w:hint="eastAsia" w:cs="仿宋_GB2312"/>
          <w:sz w:val="24"/>
          <w:szCs w:val="24"/>
        </w:rPr>
        <w:t>注册于      省      市（县）的                   公司法定代表人         授权           代表我公司参加贵方组织的招标采购、合同签订等相关事宜，其所签署的所有文件本人均予认可。</w:t>
      </w:r>
    </w:p>
    <w:p w14:paraId="5223CD1C">
      <w:pPr>
        <w:pStyle w:val="17"/>
        <w:widowControl w:val="0"/>
        <w:adjustRightInd w:val="0"/>
        <w:snapToGrid w:val="0"/>
        <w:spacing w:before="0" w:beforeAutospacing="0" w:after="0" w:afterAutospacing="0" w:line="360" w:lineRule="auto"/>
        <w:ind w:firstLine="480" w:firstLineChars="200"/>
        <w:rPr>
          <w:rFonts w:hint="eastAsia" w:cs="仿宋_GB2312"/>
          <w:sz w:val="24"/>
          <w:szCs w:val="24"/>
        </w:rPr>
      </w:pPr>
      <w:r>
        <w:rPr>
          <w:rFonts w:hint="eastAsia" w:cs="仿宋_GB2312"/>
          <w:sz w:val="24"/>
          <w:szCs w:val="24"/>
        </w:rPr>
        <w:t>特此授权</w:t>
      </w:r>
    </w:p>
    <w:p w14:paraId="43AFC400">
      <w:pPr>
        <w:pStyle w:val="17"/>
        <w:widowControl w:val="0"/>
        <w:adjustRightInd w:val="0"/>
        <w:snapToGrid w:val="0"/>
        <w:spacing w:before="0" w:beforeAutospacing="0" w:after="0" w:afterAutospacing="0" w:line="360" w:lineRule="auto"/>
        <w:ind w:firstLine="480" w:firstLineChars="200"/>
        <w:rPr>
          <w:rFonts w:hint="eastAsia" w:cs="仿宋_GB2312"/>
          <w:sz w:val="24"/>
          <w:szCs w:val="24"/>
        </w:rPr>
      </w:pPr>
      <w:r>
        <w:rPr>
          <w:rFonts w:hint="eastAsia" w:cs="仿宋_GB2312"/>
          <w:sz w:val="24"/>
          <w:szCs w:val="24"/>
        </w:rPr>
        <w:t>本授权书有效期：____  年</w:t>
      </w:r>
      <w:r>
        <w:rPr>
          <w:rFonts w:hint="eastAsia" w:cs="仿宋_GB2312"/>
          <w:sz w:val="24"/>
          <w:szCs w:val="24"/>
          <w:u w:val="single"/>
        </w:rPr>
        <w:t xml:space="preserve">    </w:t>
      </w:r>
      <w:r>
        <w:rPr>
          <w:rFonts w:hint="eastAsia" w:cs="仿宋_GB2312"/>
          <w:sz w:val="24"/>
          <w:szCs w:val="24"/>
        </w:rPr>
        <w:t xml:space="preserve"> 月</w:t>
      </w:r>
      <w:r>
        <w:rPr>
          <w:rFonts w:hint="eastAsia" w:cs="仿宋_GB2312"/>
          <w:sz w:val="24"/>
          <w:szCs w:val="24"/>
          <w:u w:val="single"/>
        </w:rPr>
        <w:t xml:space="preserve">   </w:t>
      </w:r>
      <w:r>
        <w:rPr>
          <w:rFonts w:hint="eastAsia" w:cs="仿宋_GB2312"/>
          <w:sz w:val="24"/>
          <w:szCs w:val="24"/>
        </w:rPr>
        <w:t xml:space="preserve"> 日至____年</w:t>
      </w:r>
      <w:r>
        <w:rPr>
          <w:rFonts w:hint="eastAsia" w:cs="仿宋_GB2312"/>
          <w:sz w:val="24"/>
          <w:szCs w:val="24"/>
          <w:u w:val="single"/>
        </w:rPr>
        <w:t xml:space="preserve">    </w:t>
      </w:r>
      <w:r>
        <w:rPr>
          <w:rFonts w:hint="eastAsia" w:cs="仿宋_GB2312"/>
          <w:sz w:val="24"/>
          <w:szCs w:val="24"/>
        </w:rPr>
        <w:t xml:space="preserve">  月____日</w:t>
      </w:r>
    </w:p>
    <w:p w14:paraId="4FD3826B">
      <w:pPr>
        <w:pStyle w:val="17"/>
        <w:widowControl w:val="0"/>
        <w:adjustRightInd w:val="0"/>
        <w:snapToGrid w:val="0"/>
        <w:spacing w:before="0" w:beforeAutospacing="0" w:after="0" w:afterAutospacing="0" w:line="360" w:lineRule="auto"/>
        <w:ind w:firstLine="480" w:firstLineChars="200"/>
        <w:rPr>
          <w:rFonts w:hint="eastAsia" w:cs="仿宋_GB2312"/>
          <w:sz w:val="24"/>
          <w:szCs w:val="24"/>
        </w:rPr>
      </w:pPr>
    </w:p>
    <w:p w14:paraId="2806E85B">
      <w:pPr>
        <w:pStyle w:val="17"/>
        <w:widowControl w:val="0"/>
        <w:adjustRightInd w:val="0"/>
        <w:snapToGrid w:val="0"/>
        <w:spacing w:before="0" w:beforeAutospacing="0" w:after="0" w:afterAutospacing="0" w:line="360" w:lineRule="auto"/>
        <w:ind w:left="480" w:hanging="480" w:hangingChars="200"/>
        <w:rPr>
          <w:rFonts w:hint="eastAsia" w:cs="仿宋_GB2312"/>
          <w:sz w:val="24"/>
          <w:szCs w:val="24"/>
        </w:rPr>
      </w:pPr>
      <w:r>
        <w:rPr>
          <w:rFonts w:hint="eastAsia" w:cs="仿宋_GB2312"/>
          <w:sz w:val="24"/>
          <w:szCs w:val="24"/>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3AB6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0EB68634">
            <w:pPr>
              <w:spacing w:line="360" w:lineRule="auto"/>
              <w:jc w:val="center"/>
              <w:rPr>
                <w:rFonts w:hint="eastAsia" w:ascii="宋体" w:hAnsi="宋体" w:cs="仿宋_GB2312"/>
                <w:color w:val="000000"/>
                <w:kern w:val="0"/>
                <w:sz w:val="24"/>
              </w:rPr>
            </w:pPr>
            <w:r>
              <w:rPr>
                <w:rFonts w:hint="eastAsia" w:cs="仿宋_GB2312"/>
                <w:sz w:val="24"/>
              </w:rPr>
              <w:t>法人身份证正面</w:t>
            </w:r>
          </w:p>
        </w:tc>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2C5DE9B3">
            <w:pPr>
              <w:spacing w:line="360" w:lineRule="auto"/>
              <w:jc w:val="center"/>
              <w:rPr>
                <w:rFonts w:hint="eastAsia" w:ascii="宋体" w:hAnsi="宋体" w:cs="仿宋_GB2312"/>
                <w:b/>
                <w:bCs/>
                <w:color w:val="000000"/>
                <w:kern w:val="0"/>
                <w:sz w:val="24"/>
              </w:rPr>
            </w:pPr>
            <w:r>
              <w:rPr>
                <w:rFonts w:hint="eastAsia" w:cs="仿宋_GB2312"/>
                <w:sz w:val="24"/>
              </w:rPr>
              <w:t>法人身份证反面</w:t>
            </w:r>
          </w:p>
        </w:tc>
      </w:tr>
      <w:tr w14:paraId="01BE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32C1DCDF">
            <w:pPr>
              <w:spacing w:line="360" w:lineRule="auto"/>
              <w:jc w:val="center"/>
              <w:rPr>
                <w:rFonts w:ascii="宋体" w:hAnsi="宋体" w:cs="仿宋_GB2312"/>
                <w:color w:val="000000"/>
                <w:kern w:val="0"/>
                <w:sz w:val="24"/>
              </w:rPr>
            </w:pPr>
            <w:r>
              <w:rPr>
                <w:rFonts w:hint="eastAsia" w:cs="仿宋_GB2312"/>
                <w:sz w:val="24"/>
              </w:rPr>
              <w:t>投标人授权代表身份证正面</w:t>
            </w:r>
          </w:p>
        </w:tc>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73375DE3">
            <w:pPr>
              <w:spacing w:line="360" w:lineRule="auto"/>
              <w:jc w:val="center"/>
              <w:rPr>
                <w:rFonts w:ascii="宋体" w:hAnsi="宋体" w:cs="仿宋_GB2312"/>
                <w:color w:val="000000"/>
                <w:kern w:val="0"/>
                <w:sz w:val="24"/>
              </w:rPr>
            </w:pPr>
            <w:r>
              <w:rPr>
                <w:rFonts w:hint="eastAsia" w:cs="仿宋_GB2312"/>
                <w:sz w:val="24"/>
              </w:rPr>
              <w:t>投标人授权代表身份证正反面</w:t>
            </w:r>
          </w:p>
        </w:tc>
      </w:tr>
    </w:tbl>
    <w:p w14:paraId="13398554">
      <w:pPr>
        <w:spacing w:line="360" w:lineRule="auto"/>
        <w:rPr>
          <w:rFonts w:hint="eastAsia" w:cs="仿宋_GB2312"/>
          <w:sz w:val="24"/>
        </w:rPr>
      </w:pPr>
    </w:p>
    <w:p w14:paraId="5998598A">
      <w:pPr>
        <w:pStyle w:val="39"/>
        <w:widowControl w:val="0"/>
        <w:adjustRightInd w:val="0"/>
        <w:snapToGrid w:val="0"/>
        <w:spacing w:before="0" w:beforeAutospacing="0" w:after="0" w:afterAutospacing="0" w:line="360" w:lineRule="auto"/>
        <w:jc w:val="both"/>
        <w:rPr>
          <w:rFonts w:hint="eastAsia" w:cs="仿宋_GB2312"/>
          <w:b/>
        </w:rPr>
      </w:pPr>
      <w:r>
        <w:rPr>
          <w:rFonts w:hint="eastAsia" w:cs="仿宋_GB2312"/>
        </w:rPr>
        <w:t>投标人（盖章）：                     法定代表人（签字）：</w:t>
      </w:r>
    </w:p>
    <w:p w14:paraId="657631C9">
      <w:pPr>
        <w:pStyle w:val="17"/>
        <w:widowControl w:val="0"/>
        <w:adjustRightInd w:val="0"/>
        <w:snapToGrid w:val="0"/>
        <w:spacing w:before="0" w:beforeAutospacing="0" w:after="0" w:afterAutospacing="0" w:line="360" w:lineRule="auto"/>
        <w:ind w:left="2280" w:hanging="2280" w:hangingChars="950"/>
        <w:rPr>
          <w:rFonts w:cs="仿宋_GB2312"/>
          <w:sz w:val="24"/>
          <w:bdr w:val="single" w:color="auto" w:sz="4" w:space="0"/>
        </w:rPr>
      </w:pPr>
    </w:p>
    <w:p w14:paraId="48A97F70">
      <w:pPr>
        <w:pStyle w:val="17"/>
        <w:widowControl w:val="0"/>
        <w:adjustRightInd w:val="0"/>
        <w:snapToGrid w:val="0"/>
        <w:spacing w:before="0" w:beforeAutospacing="0" w:after="0" w:afterAutospacing="0" w:line="360" w:lineRule="auto"/>
        <w:ind w:left="2280" w:hanging="2280" w:hangingChars="950"/>
        <w:rPr>
          <w:rFonts w:cs="仿宋_GB2312"/>
          <w:sz w:val="24"/>
          <w:bdr w:val="single" w:color="auto" w:sz="4" w:space="0"/>
        </w:rPr>
      </w:pPr>
    </w:p>
    <w:p w14:paraId="79ACBE28">
      <w:pPr>
        <w:pStyle w:val="17"/>
        <w:widowControl w:val="0"/>
        <w:adjustRightInd w:val="0"/>
        <w:snapToGrid w:val="0"/>
        <w:spacing w:before="0" w:beforeAutospacing="0" w:after="0" w:afterAutospacing="0" w:line="360" w:lineRule="auto"/>
        <w:ind w:left="2280" w:hanging="2280" w:hangingChars="950"/>
        <w:rPr>
          <w:rFonts w:cs="仿宋_GB2312"/>
          <w:sz w:val="24"/>
          <w:bdr w:val="single" w:color="auto" w:sz="4" w:space="0"/>
        </w:rPr>
      </w:pPr>
    </w:p>
    <w:p w14:paraId="19EFEACB">
      <w:pPr>
        <w:pStyle w:val="17"/>
        <w:widowControl w:val="0"/>
        <w:adjustRightInd w:val="0"/>
        <w:snapToGrid w:val="0"/>
        <w:spacing w:before="0" w:beforeAutospacing="0" w:after="0" w:afterAutospacing="0" w:line="360" w:lineRule="auto"/>
        <w:ind w:left="2280" w:hanging="2280" w:hangingChars="950"/>
        <w:rPr>
          <w:rFonts w:cs="仿宋_GB2312"/>
          <w:sz w:val="24"/>
          <w:bdr w:val="single" w:color="auto" w:sz="4" w:space="0"/>
        </w:rPr>
      </w:pPr>
    </w:p>
    <w:p w14:paraId="5708AAFE">
      <w:pPr>
        <w:pStyle w:val="17"/>
        <w:widowControl w:val="0"/>
        <w:adjustRightInd w:val="0"/>
        <w:snapToGrid w:val="0"/>
        <w:spacing w:before="0" w:beforeAutospacing="0" w:after="0" w:afterAutospacing="0" w:line="360" w:lineRule="auto"/>
        <w:ind w:left="2280" w:hanging="2280" w:hangingChars="950"/>
        <w:rPr>
          <w:rFonts w:cs="仿宋_GB2312"/>
          <w:sz w:val="24"/>
          <w:bdr w:val="single" w:color="auto" w:sz="4" w:space="0"/>
        </w:rPr>
      </w:pPr>
    </w:p>
    <w:p w14:paraId="4D9F6526">
      <w:pPr>
        <w:spacing w:line="360" w:lineRule="auto"/>
        <w:ind w:firstLine="3534" w:firstLineChars="1100"/>
        <w:rPr>
          <w:rFonts w:hint="default" w:ascii="宋体" w:hAnsi="宋体" w:eastAsia="宋体" w:cs="仿宋_GB2312"/>
          <w:b/>
          <w:sz w:val="32"/>
          <w:szCs w:val="32"/>
          <w:lang w:val="en-US" w:eastAsia="zh-CN"/>
        </w:rPr>
      </w:pPr>
      <w:r>
        <w:rPr>
          <w:rFonts w:hint="eastAsia" w:ascii="宋体" w:hAnsi="宋体"/>
          <w:b/>
          <w:sz w:val="32"/>
          <w:szCs w:val="32"/>
        </w:rPr>
        <w:t>第</w:t>
      </w:r>
      <w:r>
        <w:rPr>
          <w:rFonts w:hint="eastAsia" w:ascii="宋体" w:hAnsi="宋体"/>
          <w:b/>
          <w:sz w:val="32"/>
          <w:szCs w:val="32"/>
          <w:lang w:val="en-US" w:eastAsia="zh-CN"/>
        </w:rPr>
        <w:t>四</w:t>
      </w:r>
      <w:r>
        <w:rPr>
          <w:rFonts w:hint="eastAsia" w:ascii="宋体" w:hAnsi="宋体"/>
          <w:b/>
          <w:sz w:val="32"/>
          <w:szCs w:val="32"/>
        </w:rPr>
        <w:t xml:space="preserve">部分 </w:t>
      </w:r>
      <w:r>
        <w:rPr>
          <w:rFonts w:hint="eastAsia" w:ascii="宋体" w:hAnsi="宋体"/>
          <w:b/>
          <w:sz w:val="32"/>
          <w:szCs w:val="32"/>
          <w:lang w:val="en-US" w:eastAsia="zh-CN"/>
        </w:rPr>
        <w:t>评分办法</w:t>
      </w:r>
    </w:p>
    <w:p w14:paraId="627DDD10">
      <w:pPr>
        <w:jc w:val="center"/>
        <w:rPr>
          <w:rFonts w:hint="eastAsia"/>
          <w:b/>
          <w:bCs/>
          <w:color w:val="000000"/>
          <w:sz w:val="32"/>
          <w:szCs w:val="32"/>
        </w:rPr>
      </w:pPr>
      <w:r>
        <w:rPr>
          <w:b/>
          <w:bCs/>
          <w:color w:val="000000"/>
          <w:sz w:val="32"/>
          <w:szCs w:val="32"/>
        </w:rPr>
        <w:t>山西煤机装备制造有限责任公司</w:t>
      </w:r>
      <w:r>
        <w:rPr>
          <w:rFonts w:hint="eastAsia"/>
          <w:b/>
          <w:bCs/>
          <w:color w:val="000000"/>
          <w:sz w:val="32"/>
          <w:szCs w:val="32"/>
          <w:lang w:eastAsia="zh-CN"/>
        </w:rPr>
        <w:t>办公楼</w:t>
      </w:r>
      <w:r>
        <w:rPr>
          <w:rFonts w:hint="eastAsia"/>
          <w:b/>
          <w:bCs/>
          <w:color w:val="000000"/>
          <w:sz w:val="32"/>
          <w:szCs w:val="32"/>
        </w:rPr>
        <w:t>家具</w:t>
      </w:r>
      <w:r>
        <w:rPr>
          <w:rFonts w:hint="eastAsia"/>
          <w:b/>
          <w:bCs/>
          <w:color w:val="000000"/>
          <w:sz w:val="32"/>
          <w:szCs w:val="32"/>
          <w:lang w:val="en-US" w:eastAsia="zh-CN"/>
        </w:rPr>
        <w:t>采购</w:t>
      </w:r>
      <w:r>
        <w:rPr>
          <w:rFonts w:hint="eastAsia"/>
          <w:b/>
          <w:bCs/>
          <w:color w:val="000000"/>
          <w:sz w:val="32"/>
          <w:szCs w:val="32"/>
        </w:rPr>
        <w:t>项目</w:t>
      </w:r>
    </w:p>
    <w:p w14:paraId="0B27CF20">
      <w:pPr>
        <w:jc w:val="center"/>
        <w:rPr>
          <w:rFonts w:hint="eastAsia"/>
          <w:b/>
          <w:bCs/>
          <w:color w:val="000000"/>
          <w:sz w:val="32"/>
          <w:szCs w:val="32"/>
        </w:rPr>
      </w:pPr>
      <w:r>
        <w:rPr>
          <w:rFonts w:hint="eastAsia"/>
          <w:b/>
          <w:bCs/>
          <w:color w:val="000000"/>
          <w:sz w:val="32"/>
          <w:szCs w:val="32"/>
          <w:lang w:val="en-US" w:eastAsia="zh-CN"/>
        </w:rPr>
        <w:t>评分办法</w:t>
      </w:r>
      <w:r>
        <w:rPr>
          <w:rFonts w:hint="eastAsia"/>
          <w:b/>
          <w:bCs/>
          <w:color w:val="000000"/>
          <w:sz w:val="32"/>
          <w:szCs w:val="32"/>
        </w:rPr>
        <w:t xml:space="preserve"> </w:t>
      </w:r>
    </w:p>
    <w:p w14:paraId="3CFFE5AA">
      <w:pPr>
        <w:pStyle w:val="17"/>
        <w:widowControl w:val="0"/>
        <w:adjustRightInd w:val="0"/>
        <w:snapToGrid w:val="0"/>
        <w:spacing w:before="0" w:beforeAutospacing="0" w:after="0" w:afterAutospacing="0" w:line="360" w:lineRule="auto"/>
        <w:ind w:left="2280" w:hanging="2280" w:hangingChars="950"/>
        <w:rPr>
          <w:rFonts w:cs="仿宋_GB2312"/>
          <w:sz w:val="24"/>
          <w:bdr w:val="single" w:color="auto" w:sz="4" w:space="0"/>
        </w:rPr>
      </w:pPr>
    </w:p>
    <w:tbl>
      <w:tblPr>
        <w:tblStyle w:val="20"/>
        <w:tblpPr w:leftFromText="180" w:rightFromText="180" w:vertAnchor="text" w:horzAnchor="page" w:tblpX="1162" w:tblpY="34"/>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68"/>
        <w:gridCol w:w="6938"/>
        <w:gridCol w:w="867"/>
      </w:tblGrid>
      <w:tr w14:paraId="1A0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1D977A2A">
            <w:pPr>
              <w:spacing w:line="36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1268" w:type="dxa"/>
            <w:noWrap w:val="0"/>
            <w:vAlign w:val="center"/>
          </w:tcPr>
          <w:p w14:paraId="4D66A100">
            <w:pPr>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评审</w:t>
            </w:r>
          </w:p>
          <w:p w14:paraId="609A91F9">
            <w:pPr>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因素</w:t>
            </w:r>
          </w:p>
        </w:tc>
        <w:tc>
          <w:tcPr>
            <w:tcW w:w="6938" w:type="dxa"/>
            <w:noWrap w:val="0"/>
            <w:vAlign w:val="center"/>
          </w:tcPr>
          <w:p w14:paraId="330F360C">
            <w:pPr>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评审标准</w:t>
            </w:r>
          </w:p>
        </w:tc>
        <w:tc>
          <w:tcPr>
            <w:tcW w:w="867" w:type="dxa"/>
            <w:noWrap w:val="0"/>
            <w:vAlign w:val="center"/>
          </w:tcPr>
          <w:p w14:paraId="5BD5DBC0">
            <w:pPr>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分值</w:t>
            </w:r>
          </w:p>
        </w:tc>
      </w:tr>
      <w:tr w14:paraId="64E0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833" w:type="dxa"/>
            <w:gridSpan w:val="4"/>
            <w:noWrap w:val="0"/>
            <w:vAlign w:val="top"/>
          </w:tcPr>
          <w:p w14:paraId="511CF765">
            <w:pPr>
              <w:spacing w:before="78" w:line="360" w:lineRule="auto"/>
              <w:ind w:left="79" w:leftChars="0"/>
              <w:jc w:val="center"/>
              <w:rPr>
                <w:rFonts w:hint="eastAsia" w:ascii="宋体" w:hAnsi="宋体" w:eastAsia="宋体" w:cs="宋体"/>
                <w:b w:val="0"/>
                <w:bCs w:val="0"/>
                <w:color w:val="auto"/>
                <w:sz w:val="24"/>
                <w:szCs w:val="24"/>
                <w:highlight w:val="none"/>
                <w:vertAlign w:val="baseline"/>
              </w:rPr>
            </w:pPr>
            <w:r>
              <w:rPr>
                <w:rFonts w:hint="eastAsia" w:ascii="宋体" w:hAnsi="宋体" w:cs="宋体"/>
                <w:b/>
                <w:bCs/>
                <w:color w:val="auto"/>
                <w:sz w:val="24"/>
                <w:szCs w:val="24"/>
                <w:highlight w:val="none"/>
                <w:vertAlign w:val="baseline"/>
                <w:lang w:val="en-US" w:eastAsia="zh-CN"/>
              </w:rPr>
              <w:t>一、</w:t>
            </w:r>
            <w:r>
              <w:rPr>
                <w:rFonts w:hint="eastAsia" w:ascii="宋体" w:hAnsi="宋体" w:eastAsia="宋体" w:cs="宋体"/>
                <w:b/>
                <w:bCs/>
                <w:color w:val="auto"/>
                <w:sz w:val="24"/>
                <w:szCs w:val="24"/>
                <w:highlight w:val="none"/>
                <w:vertAlign w:val="baseline"/>
              </w:rPr>
              <w:t>报价评审(</w:t>
            </w:r>
            <w:r>
              <w:rPr>
                <w:rFonts w:hint="eastAsia" w:ascii="宋体" w:hAnsi="宋体" w:cs="宋体"/>
                <w:b/>
                <w:bCs/>
                <w:color w:val="auto"/>
                <w:sz w:val="24"/>
                <w:szCs w:val="24"/>
                <w:highlight w:val="none"/>
                <w:vertAlign w:val="baseline"/>
                <w:lang w:val="en-US" w:eastAsia="zh-CN"/>
              </w:rPr>
              <w:t>4</w:t>
            </w:r>
            <w:r>
              <w:rPr>
                <w:rFonts w:hint="eastAsia" w:ascii="宋体" w:hAnsi="宋体" w:eastAsia="宋体" w:cs="宋体"/>
                <w:b/>
                <w:bCs/>
                <w:color w:val="auto"/>
                <w:sz w:val="24"/>
                <w:szCs w:val="24"/>
                <w:highlight w:val="none"/>
                <w:vertAlign w:val="baseline"/>
              </w:rPr>
              <w:t>0分)</w:t>
            </w:r>
          </w:p>
        </w:tc>
      </w:tr>
      <w:tr w14:paraId="16E4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104B2DE">
            <w:pPr>
              <w:spacing w:line="360" w:lineRule="auto"/>
              <w:jc w:val="center"/>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268" w:type="dxa"/>
            <w:noWrap w:val="0"/>
            <w:vAlign w:val="center"/>
          </w:tcPr>
          <w:p w14:paraId="41F984E6">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投标报价</w:t>
            </w:r>
          </w:p>
          <w:p w14:paraId="49D7C2F9">
            <w:pPr>
              <w:widowControl/>
              <w:spacing w:line="360" w:lineRule="auto"/>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tc>
        <w:tc>
          <w:tcPr>
            <w:tcW w:w="6938" w:type="dxa"/>
            <w:noWrap w:val="0"/>
            <w:vAlign w:val="center"/>
          </w:tcPr>
          <w:p w14:paraId="07BDE268">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1、评标价的确定：</w:t>
            </w:r>
          </w:p>
          <w:p w14:paraId="744AC1EC">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有效投标人数量＜5家时，评标价=所有有效投标人评标价格的算术平均值；</w:t>
            </w:r>
          </w:p>
          <w:p w14:paraId="73FC24EE">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5家≤有效投标人数量＜10家时，评标价=所有有效投标人评标价格中去掉一个最高值和一个最低值后的算术平均值；</w:t>
            </w:r>
          </w:p>
          <w:p w14:paraId="6E03405D">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有效投标人数量≥10家时，评标价=所有有效投标人评标价格中去掉二个最高值和二个最低值后的算术平均值。以此类推。</w:t>
            </w:r>
          </w:p>
          <w:p w14:paraId="33943CB6">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2、投标报价偏离率=（投标报价-评标价）/评标价*100；</w:t>
            </w:r>
          </w:p>
          <w:p w14:paraId="7F4C3851">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3、报价得分计算方法：</w:t>
            </w:r>
          </w:p>
          <w:p w14:paraId="69CC8441">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与评标价相等的投标报价得</w:t>
            </w:r>
            <w:r>
              <w:rPr>
                <w:rFonts w:hint="eastAsia" w:ascii="宋体" w:hAnsi="宋体" w:cs="宋体"/>
                <w:b w:val="0"/>
                <w:bCs w:val="0"/>
                <w:snapToGrid w:val="0"/>
                <w:color w:val="auto"/>
                <w:kern w:val="0"/>
                <w:sz w:val="24"/>
                <w:szCs w:val="24"/>
                <w:highlight w:val="none"/>
                <w:lang w:val="en-US" w:eastAsia="zh-CN"/>
              </w:rPr>
              <w:t>30</w:t>
            </w:r>
            <w:r>
              <w:rPr>
                <w:rFonts w:hint="eastAsia" w:ascii="宋体" w:hAnsi="宋体" w:eastAsia="宋体" w:cs="宋体"/>
                <w:b w:val="0"/>
                <w:bCs w:val="0"/>
                <w:snapToGrid w:val="0"/>
                <w:color w:val="auto"/>
                <w:kern w:val="0"/>
                <w:sz w:val="24"/>
                <w:szCs w:val="24"/>
                <w:highlight w:val="none"/>
              </w:rPr>
              <w:t>分；</w:t>
            </w:r>
          </w:p>
          <w:p w14:paraId="1C581C0F">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投标报价比评标价每低1%</w:t>
            </w:r>
            <w:r>
              <w:rPr>
                <w:rFonts w:hint="eastAsia" w:ascii="宋体" w:hAnsi="宋体" w:cs="宋体"/>
                <w:b w:val="0"/>
                <w:bCs w:val="0"/>
                <w:snapToGrid w:val="0"/>
                <w:color w:val="auto"/>
                <w:kern w:val="0"/>
                <w:sz w:val="24"/>
                <w:szCs w:val="24"/>
                <w:highlight w:val="none"/>
                <w:lang w:val="en-US" w:eastAsia="zh-CN"/>
              </w:rPr>
              <w:t>增</w:t>
            </w:r>
            <w:r>
              <w:rPr>
                <w:rFonts w:hint="eastAsia" w:ascii="宋体" w:hAnsi="宋体" w:eastAsia="宋体" w:cs="宋体"/>
                <w:b w:val="0"/>
                <w:bCs w:val="0"/>
                <w:snapToGrid w:val="0"/>
                <w:color w:val="auto"/>
                <w:kern w:val="0"/>
                <w:sz w:val="24"/>
                <w:szCs w:val="24"/>
                <w:highlight w:val="none"/>
              </w:rPr>
              <w:t>0.</w:t>
            </w:r>
            <w:r>
              <w:rPr>
                <w:rFonts w:hint="eastAsia" w:ascii="宋体" w:hAnsi="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rPr>
              <w:t>分，</w:t>
            </w:r>
            <w:r>
              <w:rPr>
                <w:rFonts w:hint="eastAsia" w:ascii="宋体" w:hAnsi="宋体" w:cs="宋体"/>
                <w:b w:val="0"/>
                <w:bCs w:val="0"/>
                <w:snapToGrid w:val="0"/>
                <w:color w:val="auto"/>
                <w:kern w:val="0"/>
                <w:sz w:val="24"/>
                <w:szCs w:val="24"/>
                <w:highlight w:val="none"/>
                <w:lang w:val="en-US" w:eastAsia="zh-CN"/>
              </w:rPr>
              <w:t>加至40分为止</w:t>
            </w:r>
            <w:r>
              <w:rPr>
                <w:rFonts w:hint="eastAsia" w:ascii="宋体" w:hAnsi="宋体" w:eastAsia="宋体" w:cs="宋体"/>
                <w:b w:val="0"/>
                <w:bCs w:val="0"/>
                <w:snapToGrid w:val="0"/>
                <w:color w:val="auto"/>
                <w:kern w:val="0"/>
                <w:sz w:val="24"/>
                <w:szCs w:val="24"/>
                <w:highlight w:val="none"/>
              </w:rPr>
              <w:t>。</w:t>
            </w:r>
          </w:p>
          <w:p w14:paraId="02BC8DF5">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投标报价比评标价每高1%减0.5分，扣完为止，不得负分。</w:t>
            </w:r>
          </w:p>
          <w:p w14:paraId="41308808">
            <w:pPr>
              <w:widowControl/>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偏离不足1%的，按照相应比例计算得分，分值保留两位小数，四舍五入。(共</w:t>
            </w:r>
            <w:r>
              <w:rPr>
                <w:rFonts w:hint="eastAsia" w:ascii="宋体" w:hAnsi="宋体" w:eastAsia="宋体" w:cs="宋体"/>
                <w:b w:val="0"/>
                <w:bCs w:val="0"/>
                <w:snapToGrid w:val="0"/>
                <w:color w:val="auto"/>
                <w:kern w:val="0"/>
                <w:sz w:val="24"/>
                <w:szCs w:val="24"/>
                <w:highlight w:val="none"/>
                <w:lang w:val="en-US" w:eastAsia="zh-CN"/>
              </w:rPr>
              <w:t>4</w:t>
            </w:r>
            <w:r>
              <w:rPr>
                <w:rFonts w:hint="eastAsia" w:ascii="宋体" w:hAnsi="宋体" w:eastAsia="宋体" w:cs="宋体"/>
                <w:b w:val="0"/>
                <w:bCs w:val="0"/>
                <w:snapToGrid w:val="0"/>
                <w:color w:val="auto"/>
                <w:kern w:val="0"/>
                <w:sz w:val="24"/>
                <w:szCs w:val="24"/>
                <w:highlight w:val="none"/>
              </w:rPr>
              <w:t>0分)</w:t>
            </w:r>
          </w:p>
        </w:tc>
        <w:tc>
          <w:tcPr>
            <w:tcW w:w="867" w:type="dxa"/>
            <w:noWrap w:val="0"/>
            <w:vAlign w:val="center"/>
          </w:tcPr>
          <w:p w14:paraId="431DAE11">
            <w:pPr>
              <w:spacing w:before="78" w:line="360" w:lineRule="auto"/>
              <w:ind w:left="79" w:leftChars="0"/>
              <w:jc w:val="center"/>
              <w:rPr>
                <w:rFonts w:hint="eastAsia" w:ascii="宋体" w:hAnsi="宋体" w:eastAsia="宋体" w:cs="宋体"/>
                <w:b w:val="0"/>
                <w:bCs w:val="0"/>
                <w:snapToGrid w:val="0"/>
                <w:color w:val="auto"/>
                <w:kern w:val="0"/>
                <w:sz w:val="24"/>
                <w:szCs w:val="24"/>
                <w:highlight w:val="none"/>
              </w:rPr>
            </w:pPr>
            <w:r>
              <w:rPr>
                <w:rFonts w:hint="eastAsia" w:ascii="宋体" w:hAnsi="宋体" w:cs="宋体"/>
                <w:b w:val="0"/>
                <w:bCs w:val="0"/>
                <w:color w:val="auto"/>
                <w:spacing w:val="3"/>
                <w:sz w:val="24"/>
                <w:szCs w:val="24"/>
                <w:highlight w:val="none"/>
                <w:lang w:val="en-US" w:eastAsia="zh-CN"/>
              </w:rPr>
              <w:t>4</w:t>
            </w:r>
            <w:r>
              <w:rPr>
                <w:rFonts w:hint="eastAsia" w:ascii="宋体" w:hAnsi="宋体" w:eastAsia="宋体" w:cs="宋体"/>
                <w:b w:val="0"/>
                <w:bCs w:val="0"/>
                <w:color w:val="auto"/>
                <w:spacing w:val="3"/>
                <w:sz w:val="24"/>
                <w:szCs w:val="24"/>
                <w:highlight w:val="none"/>
              </w:rPr>
              <w:t>0分</w:t>
            </w:r>
          </w:p>
        </w:tc>
      </w:tr>
      <w:tr w14:paraId="1B95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833" w:type="dxa"/>
            <w:gridSpan w:val="4"/>
            <w:noWrap w:val="0"/>
            <w:vAlign w:val="center"/>
          </w:tcPr>
          <w:p w14:paraId="44CD0FB1">
            <w:pPr>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cs="宋体"/>
                <w:b/>
                <w:bCs/>
                <w:color w:val="auto"/>
                <w:sz w:val="24"/>
                <w:szCs w:val="24"/>
                <w:highlight w:val="none"/>
                <w:vertAlign w:val="baseline"/>
                <w:lang w:val="en-US" w:eastAsia="zh-CN"/>
              </w:rPr>
              <w:t>二、</w:t>
            </w:r>
            <w:r>
              <w:rPr>
                <w:rFonts w:hint="eastAsia" w:ascii="宋体" w:hAnsi="宋体" w:eastAsia="宋体" w:cs="宋体"/>
                <w:b/>
                <w:bCs/>
                <w:color w:val="auto"/>
                <w:sz w:val="24"/>
                <w:szCs w:val="24"/>
                <w:highlight w:val="none"/>
                <w:vertAlign w:val="baseline"/>
              </w:rPr>
              <w:t>商务</w:t>
            </w:r>
            <w:r>
              <w:rPr>
                <w:rFonts w:hint="eastAsia" w:ascii="宋体" w:hAnsi="宋体" w:eastAsia="宋体" w:cs="宋体"/>
                <w:b/>
                <w:bCs/>
                <w:color w:val="auto"/>
                <w:sz w:val="24"/>
                <w:szCs w:val="24"/>
                <w:highlight w:val="none"/>
                <w:vertAlign w:val="baseline"/>
                <w:lang w:val="en-US" w:eastAsia="zh-CN"/>
              </w:rPr>
              <w:t>和技术</w:t>
            </w:r>
            <w:r>
              <w:rPr>
                <w:rFonts w:hint="eastAsia" w:ascii="宋体" w:hAnsi="宋体" w:eastAsia="宋体" w:cs="宋体"/>
                <w:b/>
                <w:bCs/>
                <w:color w:val="auto"/>
                <w:sz w:val="24"/>
                <w:szCs w:val="24"/>
                <w:highlight w:val="none"/>
                <w:vertAlign w:val="baseline"/>
              </w:rPr>
              <w:t>评审(</w:t>
            </w:r>
            <w:r>
              <w:rPr>
                <w:rFonts w:hint="eastAsia" w:ascii="宋体" w:hAnsi="宋体" w:cs="宋体"/>
                <w:b/>
                <w:bCs/>
                <w:color w:val="auto"/>
                <w:sz w:val="24"/>
                <w:szCs w:val="24"/>
                <w:highlight w:val="none"/>
                <w:vertAlign w:val="baseline"/>
                <w:lang w:val="en-US" w:eastAsia="zh-CN"/>
              </w:rPr>
              <w:t>3</w:t>
            </w:r>
            <w:r>
              <w:rPr>
                <w:rFonts w:hint="eastAsia" w:ascii="宋体" w:hAnsi="宋体" w:eastAsia="宋体" w:cs="宋体"/>
                <w:b/>
                <w:bCs/>
                <w:color w:val="auto"/>
                <w:sz w:val="24"/>
                <w:szCs w:val="24"/>
                <w:highlight w:val="none"/>
                <w:vertAlign w:val="baseline"/>
                <w:lang w:val="en-US" w:eastAsia="zh-CN"/>
              </w:rPr>
              <w:t>0</w:t>
            </w:r>
            <w:r>
              <w:rPr>
                <w:rFonts w:hint="eastAsia" w:ascii="宋体" w:hAnsi="宋体" w:eastAsia="宋体" w:cs="宋体"/>
                <w:b/>
                <w:bCs/>
                <w:color w:val="auto"/>
                <w:sz w:val="24"/>
                <w:szCs w:val="24"/>
                <w:highlight w:val="none"/>
                <w:vertAlign w:val="baseline"/>
              </w:rPr>
              <w:t>分)</w:t>
            </w:r>
          </w:p>
        </w:tc>
      </w:tr>
      <w:tr w14:paraId="049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79E61E3A">
            <w:pPr>
              <w:numPr>
                <w:ilvl w:val="0"/>
                <w:numId w:val="3"/>
              </w:numPr>
              <w:spacing w:line="360" w:lineRule="auto"/>
              <w:ind w:left="425" w:leftChars="0" w:hanging="425" w:firstLineChars="0"/>
              <w:jc w:val="center"/>
              <w:rPr>
                <w:rFonts w:hint="eastAsia" w:ascii="宋体" w:hAnsi="宋体" w:eastAsia="宋体" w:cs="宋体"/>
                <w:b w:val="0"/>
                <w:bCs w:val="0"/>
                <w:color w:val="auto"/>
                <w:sz w:val="24"/>
                <w:szCs w:val="24"/>
                <w:highlight w:val="none"/>
                <w:vertAlign w:val="baseline"/>
                <w:lang w:val="en-US" w:eastAsia="zh-CN"/>
              </w:rPr>
            </w:pPr>
          </w:p>
        </w:tc>
        <w:tc>
          <w:tcPr>
            <w:tcW w:w="1268" w:type="dxa"/>
            <w:vMerge w:val="restart"/>
            <w:noWrap w:val="0"/>
            <w:vAlign w:val="center"/>
          </w:tcPr>
          <w:p w14:paraId="2C09B577">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环保认证证书</w:t>
            </w:r>
          </w:p>
          <w:p w14:paraId="4802906C">
            <w:pPr>
              <w:widowControl/>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（2分）</w:t>
            </w:r>
          </w:p>
        </w:tc>
        <w:tc>
          <w:tcPr>
            <w:tcW w:w="6938" w:type="dxa"/>
            <w:noWrap w:val="0"/>
            <w:vAlign w:val="top"/>
          </w:tcPr>
          <w:p w14:paraId="76B4235A">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获得有效期内</w:t>
            </w:r>
            <w:r>
              <w:rPr>
                <w:rFonts w:hint="eastAsia" w:ascii="宋体" w:hAnsi="宋体" w:eastAsia="宋体" w:cs="宋体"/>
                <w:b w:val="0"/>
                <w:bCs w:val="0"/>
                <w:snapToGrid w:val="0"/>
                <w:color w:val="auto"/>
                <w:kern w:val="0"/>
                <w:sz w:val="24"/>
                <w:szCs w:val="24"/>
                <w:highlight w:val="none"/>
              </w:rPr>
              <w:t>中国环境标志(Ⅱ型)产品认证证书</w:t>
            </w:r>
            <w:r>
              <w:rPr>
                <w:rFonts w:hint="eastAsia" w:ascii="宋体" w:hAnsi="宋体" w:eastAsia="宋体" w:cs="宋体"/>
                <w:b w:val="0"/>
                <w:bCs w:val="0"/>
                <w:color w:val="auto"/>
                <w:sz w:val="24"/>
                <w:szCs w:val="24"/>
                <w:highlight w:val="none"/>
                <w:lang w:val="en-US" w:eastAsia="zh-CN"/>
              </w:rPr>
              <w:t>，且认证单元至少均包含此次采购：班台、文件柜、沙发、会议桌、条桌、会议椅、网椅（转椅）、胶板办公桌、钢制更衣柜等，以上提供齐全得0.5分，缺项或未提供不得分。</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38CB0DEA">
            <w:pPr>
              <w:bidi w:val="0"/>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证书原件扫描件及全国认证认可信息公共服务平台查询截图并加盖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3F7EADFB">
            <w:pPr>
              <w:bidi w:val="0"/>
              <w:spacing w:line="360" w:lineRule="auto"/>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723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4F5ABB0">
            <w:pPr>
              <w:numPr>
                <w:ilvl w:val="0"/>
                <w:numId w:val="3"/>
              </w:numPr>
              <w:spacing w:line="360" w:lineRule="auto"/>
              <w:ind w:left="425" w:leftChars="0" w:hanging="425" w:firstLineChars="0"/>
              <w:jc w:val="center"/>
              <w:rPr>
                <w:rFonts w:hint="eastAsia"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top"/>
          </w:tcPr>
          <w:p w14:paraId="71E70C35">
            <w:pPr>
              <w:spacing w:line="360" w:lineRule="auto"/>
              <w:rPr>
                <w:rFonts w:hint="eastAsia" w:ascii="宋体" w:hAnsi="宋体" w:eastAsia="宋体" w:cs="宋体"/>
                <w:b w:val="0"/>
                <w:bCs w:val="0"/>
                <w:color w:val="auto"/>
                <w:sz w:val="24"/>
                <w:szCs w:val="24"/>
                <w:highlight w:val="none"/>
                <w:vertAlign w:val="baseline"/>
              </w:rPr>
            </w:pPr>
          </w:p>
        </w:tc>
        <w:tc>
          <w:tcPr>
            <w:tcW w:w="6938" w:type="dxa"/>
            <w:noWrap w:val="0"/>
            <w:vAlign w:val="top"/>
          </w:tcPr>
          <w:p w14:paraId="2E3BAA80">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获得有效期内生态产品认证证书，且认证单元至少均包含此次采购：木家具(人造板家具)、金属家具、软体家具等，以上提供齐全得0.5分，缺项或未提供不得分。</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1FF7EA53">
            <w:pPr>
              <w:bidi w:val="0"/>
              <w:spacing w:line="360" w:lineRule="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证书原件扫描件及全国认证认可信息公共服务平台查询截图并加盖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736C4F48">
            <w:pPr>
              <w:bidi w:val="0"/>
              <w:spacing w:line="360" w:lineRule="auto"/>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45E0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89B8382">
            <w:pPr>
              <w:numPr>
                <w:ilvl w:val="0"/>
                <w:numId w:val="3"/>
              </w:numPr>
              <w:spacing w:line="360" w:lineRule="auto"/>
              <w:ind w:left="425" w:leftChars="0" w:hanging="425" w:firstLineChars="0"/>
              <w:jc w:val="center"/>
              <w:rPr>
                <w:rFonts w:hint="eastAsia"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top"/>
          </w:tcPr>
          <w:p w14:paraId="1617F8AE">
            <w:pPr>
              <w:spacing w:line="360" w:lineRule="auto"/>
              <w:rPr>
                <w:rFonts w:hint="eastAsia" w:ascii="宋体" w:hAnsi="宋体" w:eastAsia="宋体" w:cs="宋体"/>
                <w:b w:val="0"/>
                <w:bCs w:val="0"/>
                <w:color w:val="auto"/>
                <w:sz w:val="24"/>
                <w:szCs w:val="24"/>
                <w:highlight w:val="none"/>
                <w:vertAlign w:val="baseline"/>
              </w:rPr>
            </w:pPr>
          </w:p>
        </w:tc>
        <w:tc>
          <w:tcPr>
            <w:tcW w:w="6938" w:type="dxa"/>
            <w:noWrap w:val="0"/>
            <w:vAlign w:val="top"/>
          </w:tcPr>
          <w:p w14:paraId="52EF3A19">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获得有效期内低甲醛家具产品认证证书，且认证单元至少均包含此次采购：班台、文件柜、沙发、会议桌、条桌、会议椅、网椅（转椅）、胶板办公桌、钢制更衣柜等，以上提供齐全得0.5分，缺项或未提供不得分。</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41695DF0">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证书原件扫描件及全国认证认可信息公共服务平台查询截图并加盖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55327C2C">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5BFB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9B78570">
            <w:pPr>
              <w:numPr>
                <w:ilvl w:val="0"/>
                <w:numId w:val="3"/>
              </w:numPr>
              <w:spacing w:line="360" w:lineRule="auto"/>
              <w:ind w:left="425" w:leftChars="0" w:hanging="425" w:firstLineChars="0"/>
              <w:jc w:val="center"/>
              <w:rPr>
                <w:rFonts w:hint="eastAsia"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top"/>
          </w:tcPr>
          <w:p w14:paraId="29BAF4F2">
            <w:pPr>
              <w:spacing w:line="360" w:lineRule="auto"/>
              <w:rPr>
                <w:rFonts w:hint="eastAsia" w:ascii="宋体" w:hAnsi="宋体" w:eastAsia="宋体" w:cs="宋体"/>
                <w:b w:val="0"/>
                <w:bCs w:val="0"/>
                <w:color w:val="auto"/>
                <w:sz w:val="24"/>
                <w:szCs w:val="24"/>
                <w:highlight w:val="none"/>
                <w:vertAlign w:val="baseline"/>
              </w:rPr>
            </w:pPr>
          </w:p>
        </w:tc>
        <w:tc>
          <w:tcPr>
            <w:tcW w:w="6938" w:type="dxa"/>
            <w:noWrap w:val="0"/>
            <w:vAlign w:val="top"/>
          </w:tcPr>
          <w:p w14:paraId="4F3F37A0">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获得有效期内</w:t>
            </w:r>
            <w:r>
              <w:rPr>
                <w:rFonts w:hint="eastAsia" w:ascii="宋体" w:hAnsi="宋体" w:eastAsia="宋体" w:cs="宋体"/>
                <w:b w:val="0"/>
                <w:bCs w:val="0"/>
                <w:color w:val="auto"/>
                <w:sz w:val="24"/>
                <w:szCs w:val="24"/>
                <w:highlight w:val="none"/>
                <w:lang w:eastAsia="zh-CN"/>
              </w:rPr>
              <w:t>环保卫士产品评价认证证书</w:t>
            </w:r>
            <w:r>
              <w:rPr>
                <w:rFonts w:hint="eastAsia" w:ascii="宋体" w:hAnsi="宋体" w:eastAsia="宋体" w:cs="宋体"/>
                <w:b w:val="0"/>
                <w:bCs w:val="0"/>
                <w:color w:val="auto"/>
                <w:sz w:val="24"/>
                <w:szCs w:val="24"/>
                <w:highlight w:val="none"/>
                <w:lang w:val="en-US" w:eastAsia="zh-CN"/>
              </w:rPr>
              <w:t>，环保等级：AAA，且认证单元至少均包含此次采购：班台、文件柜、沙发、会议桌、条桌、会议椅、网椅（转椅）、胶板办公桌、钢制更衣柜等，以上提供齐全得0.5分，缺项或未提供不得分。(共0.5分)</w:t>
            </w:r>
          </w:p>
          <w:p w14:paraId="5D528CED">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注：投标文件中须提供以上证书原件扫描件及全国认证认可信息公共服务平台查询截图并加盖投标人公章，否则不予认可。</w:t>
            </w:r>
          </w:p>
        </w:tc>
        <w:tc>
          <w:tcPr>
            <w:tcW w:w="867" w:type="dxa"/>
            <w:noWrap w:val="0"/>
            <w:vAlign w:val="center"/>
          </w:tcPr>
          <w:p w14:paraId="31AAB98B">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0AA4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28F5D319">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restart"/>
            <w:noWrap w:val="0"/>
            <w:vAlign w:val="center"/>
          </w:tcPr>
          <w:p w14:paraId="16AFAA43">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企业实力</w:t>
            </w:r>
          </w:p>
          <w:p w14:paraId="5D34C115">
            <w:pPr>
              <w:widowControl/>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938" w:type="dxa"/>
            <w:noWrap w:val="0"/>
            <w:vAlign w:val="top"/>
          </w:tcPr>
          <w:p w14:paraId="46BF9FE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获得有效期内ISO9001质量管理体系认证、有效期内ISO14001环境管理体系认证、有效期内GB/T28001或ISO45001职业健康安全管理体系认证证书，且认证产品种类均至少包含此次采购产品：</w:t>
            </w:r>
            <w:r>
              <w:rPr>
                <w:rFonts w:hint="eastAsia" w:ascii="宋体" w:hAnsi="宋体" w:eastAsia="宋体" w:cs="宋体"/>
                <w:b w:val="0"/>
                <w:bCs w:val="0"/>
                <w:color w:val="auto"/>
                <w:sz w:val="24"/>
                <w:szCs w:val="24"/>
                <w:highlight w:val="none"/>
                <w:lang w:val="en-US" w:eastAsia="zh-CN"/>
              </w:rPr>
              <w:t>班台、文件柜、沙发、会议桌、条桌、会议椅、网椅（转椅）、胶板办公桌、钢制更衣柜等</w:t>
            </w:r>
            <w:r>
              <w:rPr>
                <w:rFonts w:hint="eastAsia" w:ascii="宋体" w:hAnsi="宋体" w:eastAsia="宋体" w:cs="宋体"/>
                <w:b w:val="0"/>
                <w:bCs w:val="0"/>
                <w:color w:val="auto"/>
                <w:sz w:val="24"/>
                <w:szCs w:val="24"/>
                <w:highlight w:val="none"/>
              </w:rPr>
              <w:t>，以上提供齐全得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分，缺项或未提供不得分。(共</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4ED7F231">
            <w:pPr>
              <w:bidi w:val="0"/>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证书原件扫描件及全国认证认可信息公共服务平台查询截图并加盖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2FCF628F">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2669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65E60BC8">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0E63176F">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76C39D70">
            <w:pPr>
              <w:bidi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近三年连续获得</w:t>
            </w:r>
            <w:r>
              <w:rPr>
                <w:rFonts w:hint="eastAsia" w:ascii="宋体" w:hAnsi="宋体" w:eastAsia="宋体" w:cs="宋体"/>
                <w:b w:val="0"/>
                <w:bCs w:val="0"/>
                <w:color w:val="auto"/>
                <w:sz w:val="24"/>
                <w:szCs w:val="24"/>
                <w:highlight w:val="none"/>
                <w:lang w:val="en-US" w:eastAsia="zh-CN"/>
              </w:rPr>
              <w:t>有效期内</w:t>
            </w:r>
            <w:r>
              <w:rPr>
                <w:rFonts w:hint="eastAsia" w:ascii="宋体" w:hAnsi="宋体" w:eastAsia="宋体" w:cs="宋体"/>
                <w:b w:val="0"/>
                <w:bCs w:val="0"/>
                <w:color w:val="auto"/>
                <w:sz w:val="24"/>
                <w:szCs w:val="24"/>
                <w:highlight w:val="none"/>
              </w:rPr>
              <w:t>具有中国人民银行征信备案机构资质的第三方机构颁发的AAA级企业信用等级证书的得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连续二年的得</w:t>
            </w:r>
            <w:r>
              <w:rPr>
                <w:rFonts w:hint="eastAsia" w:ascii="宋体" w:hAnsi="宋体" w:eastAsia="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其他不得分。（共</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w:t>
            </w:r>
          </w:p>
          <w:p w14:paraId="26F13964">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投标文件中</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sz w:val="24"/>
                <w:szCs w:val="24"/>
                <w:highlight w:val="none"/>
              </w:rPr>
              <w:t>提供证书原件扫描件及</w:t>
            </w:r>
            <w:r>
              <w:rPr>
                <w:rFonts w:hint="eastAsia" w:ascii="宋体" w:hAnsi="宋体" w:eastAsia="宋体" w:cs="宋体"/>
                <w:b w:val="0"/>
                <w:bCs w:val="0"/>
                <w:color w:val="auto"/>
                <w:sz w:val="24"/>
                <w:szCs w:val="24"/>
                <w:highlight w:val="none"/>
                <w:lang w:val="en-US" w:eastAsia="zh-CN"/>
              </w:rPr>
              <w:t>官网</w:t>
            </w:r>
            <w:r>
              <w:rPr>
                <w:rFonts w:hint="eastAsia" w:ascii="宋体" w:hAnsi="宋体" w:eastAsia="宋体" w:cs="宋体"/>
                <w:b w:val="0"/>
                <w:bCs w:val="0"/>
                <w:color w:val="auto"/>
                <w:sz w:val="24"/>
                <w:szCs w:val="24"/>
                <w:highlight w:val="none"/>
              </w:rPr>
              <w:t>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102F1EA4">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2038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E42375D">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5C9C2207">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3C5E3E1D">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近三年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2021年、2022年、2023年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连续获得税务部门评定为纳税信用A级纳税人的得</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其他不得分。（共0.5分）</w:t>
            </w:r>
          </w:p>
          <w:p w14:paraId="2FCF67F5">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投标文件中</w:t>
            </w:r>
            <w:r>
              <w:rPr>
                <w:rFonts w:hint="eastAsia" w:ascii="宋体" w:hAnsi="宋体" w:eastAsia="宋体" w:cs="宋体"/>
                <w:b w:val="0"/>
                <w:bCs w:val="0"/>
                <w:color w:val="auto"/>
                <w:sz w:val="24"/>
                <w:szCs w:val="24"/>
                <w:highlight w:val="none"/>
                <w:lang w:val="en-US" w:eastAsia="zh-CN"/>
              </w:rPr>
              <w:t>须提供税局网站查询截图</w:t>
            </w:r>
            <w:r>
              <w:rPr>
                <w:rFonts w:hint="eastAsia" w:ascii="宋体" w:hAnsi="宋体" w:eastAsia="宋体" w:cs="宋体"/>
                <w:b w:val="0"/>
                <w:bCs w:val="0"/>
                <w:color w:val="auto"/>
                <w:sz w:val="24"/>
                <w:szCs w:val="24"/>
                <w:highlight w:val="none"/>
              </w:rPr>
              <w:t>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284B46B7">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3A65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EE3986E">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22BEE354">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595EE592">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获得省级行政部门颁发的连续十年以上（不含十年）的守合同重信用企业得</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分，连续十年以下（含十年）</w:t>
            </w:r>
            <w:r>
              <w:rPr>
                <w:rFonts w:hint="eastAsia" w:ascii="宋体" w:hAnsi="宋体" w:eastAsia="宋体" w:cs="宋体"/>
                <w:b w:val="0"/>
                <w:bCs w:val="0"/>
                <w:color w:val="auto"/>
                <w:sz w:val="24"/>
                <w:szCs w:val="24"/>
                <w:highlight w:val="none"/>
                <w:lang w:val="en-US" w:eastAsia="zh-CN"/>
              </w:rPr>
              <w:t>五年以上</w:t>
            </w:r>
            <w:r>
              <w:rPr>
                <w:rFonts w:hint="eastAsia" w:ascii="宋体" w:hAnsi="宋体" w:eastAsia="宋体" w:cs="宋体"/>
                <w:b w:val="0"/>
                <w:bCs w:val="0"/>
                <w:color w:val="auto"/>
                <w:sz w:val="24"/>
                <w:szCs w:val="24"/>
                <w:highlight w:val="none"/>
              </w:rPr>
              <w:t>（不含</w:t>
            </w: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年）得</w:t>
            </w:r>
            <w:r>
              <w:rPr>
                <w:rFonts w:hint="eastAsia" w:ascii="宋体" w:hAnsi="宋体" w:eastAsia="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其他不得分。（共</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w:t>
            </w:r>
          </w:p>
          <w:p w14:paraId="48ACBA9B">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投标文件中</w:t>
            </w:r>
            <w:r>
              <w:rPr>
                <w:rFonts w:hint="eastAsia" w:ascii="宋体" w:hAnsi="宋体" w:eastAsia="宋体" w:cs="宋体"/>
                <w:b w:val="0"/>
                <w:bCs w:val="0"/>
                <w:color w:val="auto"/>
                <w:sz w:val="24"/>
                <w:szCs w:val="24"/>
                <w:highlight w:val="none"/>
                <w:lang w:val="en-US" w:eastAsia="zh-CN"/>
              </w:rPr>
              <w:t>须提供证书原件</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rPr>
              <w:t>网上公示截图并加盖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1AA6DCF1">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7493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2002886D">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271F9EAC">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6C06F01E">
            <w:pPr>
              <w:bidi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获得有效期内CNAS实验室认可证书得</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其他不得分。（共0.5分）</w:t>
            </w:r>
          </w:p>
          <w:p w14:paraId="185DAC45">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w:t>
            </w:r>
            <w:r>
              <w:rPr>
                <w:rFonts w:hint="eastAsia" w:ascii="宋体" w:hAnsi="宋体" w:eastAsia="宋体" w:cs="宋体"/>
                <w:b w:val="0"/>
                <w:bCs w:val="0"/>
                <w:color w:val="auto"/>
                <w:sz w:val="24"/>
                <w:szCs w:val="24"/>
                <w:highlight w:val="none"/>
                <w:lang w:val="en-US" w:eastAsia="zh-CN"/>
              </w:rPr>
              <w:t>官网</w:t>
            </w:r>
            <w:r>
              <w:rPr>
                <w:rFonts w:hint="eastAsia" w:ascii="宋体" w:hAnsi="宋体" w:eastAsia="宋体" w:cs="宋体"/>
                <w:b w:val="0"/>
                <w:bCs w:val="0"/>
                <w:color w:val="auto"/>
                <w:sz w:val="24"/>
                <w:szCs w:val="24"/>
                <w:highlight w:val="none"/>
              </w:rPr>
              <w:t>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4B8129B5">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6248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7B6DCCCA">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6AD5DB22">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72197607">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获得</w:t>
            </w:r>
            <w:r>
              <w:rPr>
                <w:rFonts w:hint="eastAsia" w:ascii="宋体" w:hAnsi="宋体" w:eastAsia="宋体" w:cs="宋体"/>
                <w:b w:val="0"/>
                <w:bCs w:val="0"/>
                <w:color w:val="auto"/>
                <w:sz w:val="24"/>
                <w:szCs w:val="24"/>
                <w:highlight w:val="none"/>
                <w:lang w:val="en-US" w:eastAsia="zh-CN"/>
              </w:rPr>
              <w:t>有效期内绿色卫士认证证书得0.5分，其他不得分。</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176A3B20">
            <w:pPr>
              <w:bidi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w:t>
            </w:r>
            <w:r>
              <w:rPr>
                <w:rFonts w:hint="eastAsia" w:ascii="宋体" w:hAnsi="宋体" w:eastAsia="宋体" w:cs="宋体"/>
                <w:b w:val="0"/>
                <w:bCs w:val="0"/>
                <w:color w:val="auto"/>
                <w:sz w:val="24"/>
                <w:szCs w:val="24"/>
                <w:highlight w:val="none"/>
                <w:lang w:val="en-US" w:eastAsia="zh-CN"/>
              </w:rPr>
              <w:t>官网</w:t>
            </w:r>
            <w:r>
              <w:rPr>
                <w:rFonts w:hint="eastAsia" w:ascii="宋体" w:hAnsi="宋体" w:eastAsia="宋体" w:cs="宋体"/>
                <w:b w:val="0"/>
                <w:bCs w:val="0"/>
                <w:color w:val="auto"/>
                <w:sz w:val="24"/>
                <w:szCs w:val="24"/>
                <w:highlight w:val="none"/>
              </w:rPr>
              <w:t>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5C227F95">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0E3E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2CB7B81C">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3EE30A97">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34748213">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获得有效期内家具安装实施能力资质认证证书，且认证证书覆盖范围至少包含办公家具的安装，以上提供齐全得0.5分，缺项或未提供不得分。</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4181FDCB">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证书原件扫描件及全国认证认可信息公共服务平台查询截图并加盖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42D0524F">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04A4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26B6EE73">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5F957098">
            <w:pPr>
              <w:widowControl/>
              <w:spacing w:line="360" w:lineRule="auto"/>
              <w:jc w:val="center"/>
              <w:rPr>
                <w:rFonts w:hint="default" w:ascii="宋体" w:hAnsi="宋体" w:eastAsia="宋体" w:cs="宋体"/>
                <w:b w:val="0"/>
                <w:bCs w:val="0"/>
                <w:color w:val="auto"/>
                <w:sz w:val="24"/>
                <w:szCs w:val="24"/>
                <w:highlight w:val="none"/>
                <w:lang w:val="en-US" w:eastAsia="zh-CN"/>
              </w:rPr>
            </w:pPr>
          </w:p>
        </w:tc>
        <w:tc>
          <w:tcPr>
            <w:tcW w:w="6938" w:type="dxa"/>
            <w:noWrap w:val="0"/>
            <w:vAlign w:val="top"/>
          </w:tcPr>
          <w:p w14:paraId="5FBC3A0D">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获得有效期内服务质量评价体系认证证书（5A级及以上）和反贿赂管理体系认证证书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以上认证证书覆盖范围均至少均包含此次采购：木制家具、软体家具、金属家具、办公家具等，以上提供齐全得0.5分，缺项或未提供不得分。</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48C8F0D6">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证书原件扫描件及全国认证认可信息公共服务平台查询截图并加盖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14B6C93A">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7245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4B48E3E">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4261D6E6">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25EC4473">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获得有效期内企业履约能力评价认证证书和绿色供应链评价证书，认证范围至少均包含此次采购：木制家具、软体家具、金属家具、办公家具等，以上提供齐全得0.5分，缺项或未提供不得分。</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p w14:paraId="3A6A0B8B">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注：投标文件中须提供以上</w:t>
            </w:r>
            <w:r>
              <w:rPr>
                <w:rFonts w:hint="eastAsia" w:ascii="宋体" w:hAnsi="宋体" w:eastAsia="宋体" w:cs="宋体"/>
                <w:b w:val="0"/>
                <w:bCs w:val="0"/>
                <w:color w:val="auto"/>
                <w:sz w:val="24"/>
                <w:szCs w:val="24"/>
                <w:highlight w:val="none"/>
              </w:rPr>
              <w:t>证书原件扫描件及全国认证认可信息公共服务平台查询截图并加盖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，否则不予认可</w:t>
            </w:r>
            <w:r>
              <w:rPr>
                <w:rFonts w:hint="eastAsia" w:ascii="宋体" w:hAnsi="宋体" w:eastAsia="宋体" w:cs="宋体"/>
                <w:b w:val="0"/>
                <w:bCs w:val="0"/>
                <w:color w:val="auto"/>
                <w:sz w:val="24"/>
                <w:szCs w:val="24"/>
                <w:highlight w:val="none"/>
              </w:rPr>
              <w:t>。</w:t>
            </w:r>
          </w:p>
        </w:tc>
        <w:tc>
          <w:tcPr>
            <w:tcW w:w="867" w:type="dxa"/>
            <w:noWrap w:val="0"/>
            <w:vAlign w:val="center"/>
          </w:tcPr>
          <w:p w14:paraId="4DE56047">
            <w:pPr>
              <w:bidi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p>
        </w:tc>
      </w:tr>
      <w:tr w14:paraId="4263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1734B3B4">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center"/>
          </w:tcPr>
          <w:p w14:paraId="3D47E99C">
            <w:pPr>
              <w:widowControl/>
              <w:spacing w:line="360" w:lineRule="auto"/>
              <w:jc w:val="center"/>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02DF402F">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提供有效期内全国商品售后服务达标认证证书（达到五星级）且提供至少八名售后服务高级管理师证书及</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 xml:space="preserve">为售后服务高级管理师缴纳的近半年的社保证明材料得 </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分；获得五星级及以下且提供至少五名售后服务高级管理师证书及</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 xml:space="preserve">为售后服务高级管理师缴纳的近半年的社保证明材料得 </w:t>
            </w:r>
            <w:r>
              <w:rPr>
                <w:rFonts w:hint="eastAsia" w:ascii="宋体" w:hAnsi="宋体" w:eastAsia="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分，未提供不得分。（投标文件中须提供以上证书及社保证明扫描件，否则不得分。）(共</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38B617C6">
            <w:pPr>
              <w:bidi w:val="0"/>
              <w:spacing w:line="360" w:lineRule="auto"/>
              <w:rPr>
                <w:rFonts w:hint="eastAsia" w:ascii="宋体" w:hAnsi="宋体" w:eastAsia="宋体" w:cs="宋体"/>
                <w:b w:val="0"/>
                <w:bCs w:val="0"/>
                <w:color w:val="auto"/>
                <w:sz w:val="24"/>
                <w:szCs w:val="24"/>
                <w:highlight w:val="none"/>
                <w:lang w:val="en-US" w:eastAsia="zh-CN"/>
              </w:rPr>
            </w:pPr>
          </w:p>
        </w:tc>
        <w:tc>
          <w:tcPr>
            <w:tcW w:w="867" w:type="dxa"/>
            <w:noWrap w:val="0"/>
            <w:vAlign w:val="center"/>
          </w:tcPr>
          <w:p w14:paraId="3B7D751B">
            <w:pPr>
              <w:bidi w:val="0"/>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0.5分</w:t>
            </w:r>
          </w:p>
        </w:tc>
      </w:tr>
      <w:tr w14:paraId="4D44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ACD7386">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noWrap w:val="0"/>
            <w:vAlign w:val="center"/>
          </w:tcPr>
          <w:p w14:paraId="1C3B857A">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业绩</w:t>
            </w:r>
          </w:p>
          <w:p w14:paraId="1F2E7C1D">
            <w:pPr>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（2分）</w:t>
            </w:r>
          </w:p>
        </w:tc>
        <w:tc>
          <w:tcPr>
            <w:tcW w:w="6938" w:type="dxa"/>
            <w:noWrap w:val="0"/>
            <w:vAlign w:val="top"/>
          </w:tcPr>
          <w:p w14:paraId="6A623424">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投标人提供2020年1月1日以来（以合同签订时间为准）完成</w:t>
            </w:r>
            <w:r>
              <w:rPr>
                <w:rFonts w:hint="eastAsia" w:ascii="宋体" w:hAnsi="宋体" w:cs="宋体"/>
                <w:b w:val="0"/>
                <w:bCs w:val="0"/>
                <w:color w:val="auto"/>
                <w:sz w:val="24"/>
                <w:szCs w:val="24"/>
                <w:highlight w:val="none"/>
                <w:lang w:val="en-US" w:eastAsia="zh-CN"/>
              </w:rPr>
              <w:t>山西省</w:t>
            </w:r>
            <w:r>
              <w:rPr>
                <w:rFonts w:hint="eastAsia" w:ascii="宋体" w:hAnsi="宋体" w:eastAsia="宋体" w:cs="宋体"/>
                <w:b w:val="0"/>
                <w:bCs w:val="0"/>
                <w:color w:val="auto"/>
                <w:sz w:val="24"/>
                <w:szCs w:val="24"/>
                <w:highlight w:val="none"/>
                <w:lang w:val="en-US" w:eastAsia="zh-CN"/>
              </w:rPr>
              <w:t>类似销售业绩，提供一份，得0.5分，最多2分。(共2分)</w:t>
            </w:r>
          </w:p>
          <w:p w14:paraId="264A812D">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注：以提供的中标通知</w:t>
            </w:r>
            <w:bookmarkStart w:id="3" w:name="_GoBack"/>
            <w:bookmarkEnd w:id="3"/>
            <w:r>
              <w:rPr>
                <w:rFonts w:hint="eastAsia" w:ascii="宋体" w:hAnsi="宋体" w:eastAsia="宋体" w:cs="宋体"/>
                <w:b w:val="0"/>
                <w:bCs w:val="0"/>
                <w:color w:val="auto"/>
                <w:sz w:val="24"/>
                <w:szCs w:val="24"/>
                <w:highlight w:val="none"/>
                <w:lang w:val="en-US" w:eastAsia="zh-CN"/>
              </w:rPr>
              <w:t>书、采购合同（须含合同首页、合同金额、合同条款、签字盖章页）为准，投标文件中须提供以上证明文件原件扫描件加盖投标人公章，否则业绩不予认可。</w:t>
            </w:r>
          </w:p>
        </w:tc>
        <w:tc>
          <w:tcPr>
            <w:tcW w:w="867" w:type="dxa"/>
            <w:noWrap w:val="0"/>
            <w:vAlign w:val="center"/>
          </w:tcPr>
          <w:p w14:paraId="515CE476">
            <w:pPr>
              <w:bidi w:val="0"/>
              <w:spacing w:line="360" w:lineRule="auto"/>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tc>
      </w:tr>
      <w:tr w14:paraId="59BA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7FC6700D">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restart"/>
            <w:noWrap w:val="0"/>
            <w:vAlign w:val="center"/>
          </w:tcPr>
          <w:p w14:paraId="2270E156">
            <w:pPr>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w:t>
            </w:r>
          </w:p>
          <w:p w14:paraId="705ADB7C">
            <w:pPr>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参数</w:t>
            </w:r>
          </w:p>
          <w:p w14:paraId="66FCF64C">
            <w:pPr>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tc>
        <w:tc>
          <w:tcPr>
            <w:tcW w:w="6938" w:type="dxa"/>
            <w:noWrap w:val="0"/>
            <w:vAlign w:val="top"/>
          </w:tcPr>
          <w:p w14:paraId="23B82E8F">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须提供符合“办公家具采购清单”中标记“▲”原材料：木皮、高密度纤维板、油漆、牛皮、阻燃高弹海绵、实木框架、实木扶手、脚轮、网布、环保皮、弓形脚、三聚氰胺饰面刨花板、PVC封边条、钢架、冷轧钢板、防静电涂料、线盒（17个原材料）参数要求的经国家认可的省级及以上质量检验检测中心出具的抽样检验合格的原材料检验报告，全部满足得满分8.5分，有1项不满足扣0.5分（同一因素不重复扣分），扣完为止。</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8.5</w:t>
            </w:r>
            <w:r>
              <w:rPr>
                <w:rFonts w:hint="eastAsia" w:ascii="宋体" w:hAnsi="宋体" w:eastAsia="宋体" w:cs="宋体"/>
                <w:b w:val="0"/>
                <w:bCs w:val="0"/>
                <w:color w:val="auto"/>
                <w:sz w:val="24"/>
                <w:szCs w:val="24"/>
                <w:highlight w:val="none"/>
              </w:rPr>
              <w:t>分)</w:t>
            </w:r>
          </w:p>
          <w:p w14:paraId="0F35A998">
            <w:pPr>
              <w:bidi w:val="0"/>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注：检验报告检验签发日期须在2023年1月1日至招标公告日前由省级及以上检验机构出具，检验报告封面带有CNAS、CMA标志，受检单位与投标人一致，投标文件中须提供原材料抽样检验合格报告原件扫描件和全国认证认可信息公共服务平台查询截图（加盖投标人公章），否则不予认可。）</w:t>
            </w:r>
          </w:p>
        </w:tc>
        <w:tc>
          <w:tcPr>
            <w:tcW w:w="867" w:type="dxa"/>
            <w:noWrap w:val="0"/>
            <w:vAlign w:val="center"/>
          </w:tcPr>
          <w:p w14:paraId="2A7AB0FF">
            <w:pPr>
              <w:bidi w:val="0"/>
              <w:spacing w:line="360" w:lineRule="auto"/>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8.5</w:t>
            </w:r>
            <w:r>
              <w:rPr>
                <w:rFonts w:hint="eastAsia" w:ascii="宋体" w:hAnsi="宋体" w:eastAsia="宋体" w:cs="宋体"/>
                <w:b w:val="0"/>
                <w:bCs w:val="0"/>
                <w:color w:val="auto"/>
                <w:sz w:val="24"/>
                <w:szCs w:val="24"/>
                <w:highlight w:val="none"/>
              </w:rPr>
              <w:t>分</w:t>
            </w:r>
          </w:p>
        </w:tc>
      </w:tr>
      <w:tr w14:paraId="714E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6639324C">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top"/>
          </w:tcPr>
          <w:p w14:paraId="4FA7A39B">
            <w:pPr>
              <w:spacing w:line="360" w:lineRule="auto"/>
              <w:rPr>
                <w:rFonts w:hint="eastAsia" w:ascii="宋体" w:hAnsi="宋体" w:eastAsia="宋体" w:cs="宋体"/>
                <w:b w:val="0"/>
                <w:bCs w:val="0"/>
                <w:color w:val="auto"/>
                <w:sz w:val="24"/>
                <w:szCs w:val="24"/>
                <w:highlight w:val="none"/>
                <w:vertAlign w:val="baseline"/>
              </w:rPr>
            </w:pPr>
          </w:p>
        </w:tc>
        <w:tc>
          <w:tcPr>
            <w:tcW w:w="6938" w:type="dxa"/>
            <w:noWrap w:val="0"/>
            <w:vAlign w:val="top"/>
          </w:tcPr>
          <w:p w14:paraId="18839017">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提供2023年1月1日至招标公告日前经国家认可的省级及以上质量检验检测中心出具的产品的抽样检验合格报告，受检单位与</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一致：</w:t>
            </w:r>
          </w:p>
          <w:p w14:paraId="4A3B6206">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1.提供班台检验报告：依据GB/T 39600-2021、GB/T 3324-2017、GB/T 35607-2017、GB 18584-2001、GB 20286-2006标准；主要尺寸及其偏差（桌类主要尺寸和产品外形尺寸偏差）、形状和位置公差、外观要求（人造板件外观；漆膜外观要求；木工要求；五金件外观）、力学性能（桌类强度和耐久性、桌类稳定性）均通过检测标准要求，单项评价均合格；表面理化性能要求：漆膜（耐液性1级、耐湿热1级、耐干热1级、附着力1级、耐冷热温差无鼓泡、裂缝和明显失光，耐磨性1级、抗冲击1级）；人造板含水率6.5%-13.0%；产品寿命：桌面水平耐久性6万次，满足要求，单项评价合格；翘曲度≤1.0mm,平整度≤0.05mm，底脚平稳性≤0.5mm，抽屉下垂度≤10mm，抽屉摆动度≤5mm，；汞、砷均≤0.005mg/kg；甲醛释放量≤0.01mg/m³或≤0.2mg/L，总挥发性有机化合物（TVOC）≤0.02mg/m³，苯、甲苯、二甲苯均≤0.005mg/m³。公共场所阻燃家具及组件的燃烧性能（阻燃Ⅰ级）组件/其他家具：5min内放出的总能量≤30MJ，热释放速率峰值≤150kW，最大烟密度≤75%。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2A5AA234">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2.提供文件柜检验报告：依据GB/T 39600-2021、GB/T 3324-2017、GB/T 35607-2017、GB 18584-2001、GB 20286-2006标准；主要尺寸及其偏差、形状和位置公差、外观要求（人造板件外观；五金件外观；漆膜外观要求；木工要求）、力学性能（柜类强度和耐久性、柜类稳定性）均通过检测标准要求，单项评价均合格；表面理化性能要求：漆膜（耐液性1级、耐湿热1级、耐干热1级、附着力1级、耐冷热温差无鼓泡、裂缝和明显失光，耐磨性1级、抗冲击1级）；人造板含水率7%-13%，翘曲度≤0.5mm，平整度≤0.05mm，底脚平稳性≤0.5mm，位差度≤0.3mm，分缝≤0.05mm，产品寿命拉门耐久性8万次满足要求，单项评价均合格；甲醛释放量≤0.1mg/L或≤0.02mg/m³，产品有害物质苯、甲苯、二甲苯含量均≤0.005mg/m³，总挥发性有机化合物（TVOC）≤0.02mg/m³，汞、砷均≤0.005mg/kg；公共场所阻燃家具及组件的燃烧性能（阻燃Ⅰ级）组件/其他家具：5min内放出的总能量≤30MJ，热释放速率峰值≤150kW，最大烟密度≤75%。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713C5D3A">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3.提供</w:t>
            </w:r>
            <w:r>
              <w:rPr>
                <w:rFonts w:hint="eastAsia" w:ascii="宋体" w:hAnsi="宋体" w:eastAsia="宋体" w:cs="宋体"/>
                <w:b w:val="0"/>
                <w:bCs w:val="0"/>
                <w:color w:val="auto"/>
                <w:sz w:val="24"/>
                <w:szCs w:val="24"/>
                <w:highlight w:val="none"/>
              </w:rPr>
              <w:t>沙发</w:t>
            </w:r>
            <w:r>
              <w:rPr>
                <w:rFonts w:hint="eastAsia" w:ascii="宋体" w:hAnsi="宋体" w:eastAsia="宋体" w:cs="宋体"/>
                <w:b w:val="0"/>
                <w:bCs w:val="0"/>
                <w:color w:val="auto"/>
                <w:sz w:val="24"/>
                <w:szCs w:val="24"/>
                <w:highlight w:val="none"/>
                <w:lang w:val="en-US" w:eastAsia="zh-CN"/>
              </w:rPr>
              <w:t>检验报告：依据GB/T 35607-2017、GB 20286-2006、GB/T 39223.6-2020标准；尺寸要求：座面倾角、靠背倾角、座宽、座深、座高、沙发靠背、扶手均通过检测标准要求，单项评价均合格；产品有害物质（皮革中五氯苯酚（PCP））≤0.1mg/kg；甲醛释放量≤0.02mg/m³；汞、砷均≤0.005mg/kg；苯、甲苯、二甲苯含量均≤0.005mg/m³；总挥发性有机化合物（TVOC）≤0.02mg/m³；可分解芳香胺染料≤30mg/kg；可接触的实木部件中五氯苯酚（PCP）≤0.1mg/kg；公共场所阻燃家具及组件的燃烧性能（阻燃Ⅰ级）软垫家具：5min内放出的总能量≤30MJ，热释放速率峰值≤150kW，最大烟密度≤75%。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4E5E6E45">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4.提供会议桌检验报告：依据GB/T 39600-2021、GB/T 3324-2017、GB/T 35607-2017、GB 18584-2001、GB 20286-2006标准；主要尺寸及其偏差（桌类主要尺寸和产品外形尺寸偏差）、形状和位置公差、外观要求（人造板件外观；漆膜外观要求；木工要求）、力学性能（桌类强度和耐久性、桌类稳定性）均通过检测标准要求，单项评价均合格；表面理化性能要求：漆膜（耐液性1级、耐湿热1级、耐干热1级、附着力1级、耐冷热温差无鼓泡、裂缝和明显失光，耐磨性1级、抗冲击1级）；人造板含水率6.5%-13.0%；产品寿命：桌面水平耐久性6万次，满足要求，单项评价合格；翘曲度≤0.5mm,平整度≤0.05mm，底脚平稳性≤0.5mm；汞、砷均≤0.005mg/kg；甲醛释放量≤0.01mg/m³或≤0.2mg/L，总挥发性有机化合物（TVOC）≤0.02mg/m³，苯、甲苯、二甲苯均≤0.005mg/m³。公共场所阻燃家具及组件的燃烧性能（阻燃Ⅰ级）组件/其他家具：5min内放出的总能量≤30MJ，热释放速率峰值≤150kW，最大烟密度≤75%。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02B1D925">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提供条桌检验报告：依据GB/T3324-2017、GB/T35607-2017、GB18584-2001、GB20286-2006标准；外观要求（木工要求）、力学性能（桌类强度和耐久性、桌类稳定性）均通过检测标准要求，单项评价均合格；表面理化性能要求：漆膜（耐液性1级、耐湿热1级、附着力1级、耐冷热温差无鼓泡、裂缝和明显失光，耐磨性1级、抗冲击1级）；汞、砷均≤0.005mg/kg；甲醛释放量≤0.01mg/m³或≤0.05mg/L，公共场所阻燃家具及组件的燃烧性能（阻燃Ⅰ级）组件/其他家具：5min内放出的总能量≤30MJ，热释放速率峰值≤150kW，最大烟密度≤75%。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72551DB5">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6.提供会议椅检验报告：依据QB/T 2280-2016、GB/T 3324-2017 、GB/T 35607-2017、GB 20286-2006、GB 18584-2001标准；主要尺寸、形状和位置公差、外观（软、硬包件外观；木制件外观要求；涂层和镀层；其他外观要求）、力学性能（稳定性，座面冲击，座面、椅背静载荷，扶手垂直向下静载荷，扶手水平静载荷，座面、椅背耐久性）、阻燃性均通过检测标准要求，单项评价均合格；表面理化性能要求：漆膜（附着力、耐湿热、耐干热均为1级）；理化性能：软质聚氨酯泡沫塑料（座面密度≥40kg/m³、其他部位密度≥35kg/m³）、回弹性≥40%、75%压缩永久变形≤6%；甲醛释放量≤0.05mg/L；TVOC≤0.05mg/㎡h；汞、砷均≤0.005mg/kg；公共场所阻燃家具及组件的燃烧性能（阻燃Ⅰ级）软垫家具：无有焰燃烧引燃或阴燃引燃现象，通过检测标准要求，单项评价合格；5min内放出的总能量≤30MJ，热释放速率峰值≤150kW，最大烟密度≤75%。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70DE664D">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7.提供网椅（转椅）检验报告：依据QB/T 2280-2016、GB/T 35607-2017、GB 20286-2006、GB/T 39223.3-2020标准；外观（塑料件外观和软、硬包件外观）、力学性能（椅背往复耐久性和座面耐久性）均通过检测标准要求，单项评价均合格；甲醛释放量≤0.02mg/m³；苯、甲苯、二甲苯含量均≤0.005mg/m³，总挥发性有机化合物（TVOC）≤0.02mg/m³；产品有害物质（纺织品中五氯苯酚(PCP）)≤0.02mg/kg；汞、砷均≤0.005mg/kg；可分解芳香胺染料≤5mg/kg；苯并【a】芘≤0.05mg/kg；公共场所阻燃家具及组件的燃烧性能（阻燃Ⅰ级）软垫家具：无有焰燃烧引燃或阴燃引燃现象，通过检测标准要求，单项评价合格；5min内放出的总能量≤30MJ，热释放速率峰值≤150kW，最大烟密度≤75%。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69C170C7">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8.提供</w:t>
            </w:r>
            <w:r>
              <w:rPr>
                <w:rFonts w:hint="eastAsia" w:hAnsi="宋体" w:eastAsia="宋体" w:cs="宋体"/>
                <w:b w:val="0"/>
                <w:bCs w:val="0"/>
                <w:color w:val="auto"/>
                <w:sz w:val="24"/>
                <w:szCs w:val="24"/>
                <w:highlight w:val="none"/>
                <w:lang w:val="en-US" w:eastAsia="zh-CN"/>
              </w:rPr>
              <w:t>胶板办公桌</w:t>
            </w:r>
            <w:r>
              <w:rPr>
                <w:rFonts w:hint="eastAsia" w:ascii="宋体" w:hAnsi="宋体" w:eastAsia="宋体" w:cs="宋体"/>
                <w:b w:val="0"/>
                <w:bCs w:val="0"/>
                <w:color w:val="auto"/>
                <w:sz w:val="24"/>
                <w:szCs w:val="24"/>
                <w:highlight w:val="none"/>
                <w:lang w:val="en-US" w:eastAsia="zh-CN"/>
              </w:rPr>
              <w:t>检验报告：依据GB/T 39600-2021、GB/T 3325-2017、GB/T 35607-2017、GB 18584-2001、GB 20286-2006、GB/T 39223.3-2020标准；主要尺寸及偏差（桌类主要尺寸和产品外形尺寸偏差）、形状和位置公差、外观性能要求（金属件、木制件）、</w:t>
            </w:r>
            <w:r>
              <w:rPr>
                <w:rFonts w:hint="eastAsia" w:ascii="宋体" w:hAnsi="宋体" w:eastAsia="宋体" w:cs="宋体"/>
                <w:b w:val="0"/>
                <w:bCs w:val="0"/>
                <w:color w:val="auto"/>
                <w:kern w:val="0"/>
                <w:sz w:val="24"/>
                <w:szCs w:val="24"/>
                <w:highlight w:val="none"/>
                <w:lang w:val="en-US" w:eastAsia="zh-CN" w:bidi="ar-SA"/>
              </w:rPr>
              <w:t>力学性能（桌类强度和耐久性、桌类稳定性）、</w:t>
            </w:r>
            <w:r>
              <w:rPr>
                <w:rFonts w:hint="eastAsia" w:ascii="宋体" w:hAnsi="宋体" w:eastAsia="宋体" w:cs="宋体"/>
                <w:b w:val="0"/>
                <w:bCs w:val="0"/>
                <w:color w:val="auto"/>
                <w:sz w:val="24"/>
                <w:szCs w:val="24"/>
                <w:highlight w:val="none"/>
                <w:lang w:val="en-US" w:eastAsia="zh-CN"/>
              </w:rPr>
              <w:t>木制件表面贴面层（耐湿热5级、耐干热5级、耐划痕、耐冷热循环、表面耐磨性：素色、抗冲击1级、耐污染性能5级、耐光色牢度（灰色样卡）4-5级）</w:t>
            </w:r>
            <w:r>
              <w:rPr>
                <w:rFonts w:hint="eastAsia" w:ascii="宋体" w:hAnsi="宋体" w:eastAsia="宋体" w:cs="宋体"/>
                <w:b w:val="0"/>
                <w:bCs w:val="0"/>
                <w:color w:val="auto"/>
                <w:kern w:val="0"/>
                <w:sz w:val="24"/>
                <w:szCs w:val="24"/>
                <w:highlight w:val="none"/>
                <w:lang w:val="en-US" w:eastAsia="zh-CN" w:bidi="ar-SA"/>
              </w:rPr>
              <w:t>均通过检测标准要求，单项评价均合格；金属喷漆（塑）涂层（硬度3H，附着力1级）；</w:t>
            </w:r>
            <w:r>
              <w:rPr>
                <w:rFonts w:hint="eastAsia" w:ascii="宋体" w:hAnsi="宋体" w:eastAsia="宋体" w:cs="宋体"/>
                <w:b w:val="0"/>
                <w:bCs w:val="0"/>
                <w:color w:val="auto"/>
                <w:sz w:val="24"/>
                <w:szCs w:val="24"/>
                <w:highlight w:val="none"/>
                <w:lang w:val="en-US" w:eastAsia="zh-CN"/>
              </w:rPr>
              <w:t>人造板件含水率7.0%-14.0%；人造板件封边条表面胶合强度≥0.5MPa；</w:t>
            </w:r>
            <w:r>
              <w:rPr>
                <w:rFonts w:hint="eastAsia" w:ascii="宋体" w:hAnsi="宋体" w:eastAsia="宋体" w:cs="宋体"/>
                <w:b w:val="0"/>
                <w:bCs w:val="0"/>
                <w:color w:val="auto"/>
                <w:kern w:val="0"/>
                <w:sz w:val="24"/>
                <w:szCs w:val="24"/>
                <w:highlight w:val="none"/>
                <w:lang w:val="en-US" w:eastAsia="zh-CN" w:bidi="ar-SA"/>
              </w:rPr>
              <w:t>甲醛释放量≤0.05mg/L；</w:t>
            </w:r>
            <w:r>
              <w:rPr>
                <w:rFonts w:hint="eastAsia" w:ascii="宋体" w:hAnsi="宋体" w:eastAsia="宋体" w:cs="宋体"/>
                <w:b w:val="0"/>
                <w:bCs w:val="0"/>
                <w:color w:val="auto"/>
                <w:sz w:val="24"/>
                <w:szCs w:val="24"/>
                <w:highlight w:val="none"/>
                <w:lang w:val="en-US" w:eastAsia="zh-CN"/>
              </w:rPr>
              <w:t>汞、砷均≤0.005mg/kg；</w:t>
            </w:r>
            <w:r>
              <w:rPr>
                <w:rFonts w:hint="eastAsia" w:ascii="宋体" w:hAnsi="宋体" w:eastAsia="宋体" w:cs="宋体"/>
                <w:b w:val="0"/>
                <w:bCs w:val="0"/>
                <w:color w:val="auto"/>
                <w:kern w:val="0"/>
                <w:sz w:val="24"/>
                <w:szCs w:val="24"/>
                <w:highlight w:val="none"/>
                <w:lang w:val="en-US" w:eastAsia="zh-CN" w:bidi="ar-SA"/>
              </w:rPr>
              <w:t>公共场所阻燃家具及组件的燃烧性能（阻燃Ⅰ级）组件/其他家具：5min内放出的总能量≤30MJ，热释放速率峰值≤130kW，最大烟密度≤65%。</w:t>
            </w:r>
            <w:r>
              <w:rPr>
                <w:rFonts w:hint="eastAsia" w:ascii="宋体" w:hAnsi="宋体" w:eastAsia="宋体" w:cs="宋体"/>
                <w:b w:val="0"/>
                <w:bCs w:val="0"/>
                <w:color w:val="auto"/>
                <w:sz w:val="24"/>
                <w:szCs w:val="24"/>
                <w:highlight w:val="none"/>
                <w:lang w:val="en-US" w:eastAsia="zh-CN"/>
              </w:rPr>
              <w:t>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7239D215">
            <w:pPr>
              <w:bidi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9.提供钢制更衣柜检验报告：依据GB/T 3325-2017、GB/T 13668-2015 、GB/T 35607-2017、QB/T 3826-1999、QB/T 3827-1999、QB/T 3832-1999标准；形状和位置公差、外观性能要求（金属件）、安全性能要求、力学性能（柜类强度和耐久性）均通过检测标准要求，单项评价均合格；金属喷漆（塑）涂层硬度2H，附着力1级；平整度≤0.05mm，翘曲度≤0.5mm，中性盐雾试验（NSS）：连续喷雾18h,镀层本身耐腐蚀等级及镀层对基体的保护等级均达到10级；乙酸盐雾试验（ASS）：连续喷雾18h,镀层本身耐腐蚀等级及镀层对基体的保护等级均达到10级；甲醛释放量≤0.01mg/m³，汞、砷均≤0.005mg/kg；苯、甲苯、二甲苯含量均≤0.005mg/m³，总挥发性有机化合物（TVOC）≤0.02mg/m³。全部满足要求的得</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分，否则不得分；</w:t>
            </w:r>
          </w:p>
          <w:p w14:paraId="7AA38D1E">
            <w:p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共</w:t>
            </w: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val="en-US" w:eastAsia="zh-CN"/>
              </w:rPr>
              <w:t>分）</w:t>
            </w:r>
          </w:p>
          <w:p w14:paraId="03456D7F">
            <w:pPr>
              <w:bidi w:val="0"/>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注：检验报告检验签发日期须在2023年1月1日至招标公告日前由省级及以上检验机构出具，检验报告封面带有CNAS、CMA标志，受检单位与投标人一致，投标文件中须提供成品抽样检验合格报告原件扫描件和全国认证认可信息公共服务平台查询截图（加盖投标人公章），否则不予认可。）</w:t>
            </w:r>
          </w:p>
        </w:tc>
        <w:tc>
          <w:tcPr>
            <w:tcW w:w="867" w:type="dxa"/>
            <w:noWrap w:val="0"/>
            <w:vAlign w:val="center"/>
          </w:tcPr>
          <w:p w14:paraId="1DA66ECA">
            <w:pPr>
              <w:bidi w:val="0"/>
              <w:spacing w:line="360" w:lineRule="auto"/>
              <w:jc w:val="center"/>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val="en-US" w:eastAsia="zh-CN"/>
              </w:rPr>
              <w:t>分</w:t>
            </w:r>
          </w:p>
        </w:tc>
      </w:tr>
      <w:tr w14:paraId="6315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60" w:type="dxa"/>
            <w:noWrap w:val="0"/>
            <w:vAlign w:val="center"/>
          </w:tcPr>
          <w:p w14:paraId="071E9701">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vMerge w:val="continue"/>
            <w:noWrap w:val="0"/>
            <w:vAlign w:val="top"/>
          </w:tcPr>
          <w:p w14:paraId="03F9D74C">
            <w:pPr>
              <w:spacing w:line="360" w:lineRule="auto"/>
              <w:rPr>
                <w:rFonts w:hint="eastAsia" w:ascii="宋体" w:hAnsi="宋体" w:eastAsia="宋体" w:cs="宋体"/>
                <w:b w:val="0"/>
                <w:bCs w:val="0"/>
                <w:color w:val="auto"/>
                <w:sz w:val="24"/>
                <w:szCs w:val="24"/>
                <w:highlight w:val="none"/>
                <w:vertAlign w:val="baseline"/>
              </w:rPr>
            </w:pPr>
          </w:p>
        </w:tc>
        <w:tc>
          <w:tcPr>
            <w:tcW w:w="6938" w:type="dxa"/>
            <w:noWrap w:val="0"/>
            <w:vAlign w:val="top"/>
          </w:tcPr>
          <w:p w14:paraId="724D709D">
            <w:pPr>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eastAsia="zh-CN"/>
              </w:rPr>
              <w:t>2023</w:t>
            </w:r>
            <w:r>
              <w:rPr>
                <w:rFonts w:hint="eastAsia" w:ascii="宋体" w:hAnsi="宋体" w:eastAsia="宋体" w:cs="宋体"/>
                <w:b w:val="0"/>
                <w:bCs w:val="0"/>
                <w:color w:val="auto"/>
                <w:sz w:val="24"/>
                <w:szCs w:val="24"/>
                <w:highlight w:val="none"/>
              </w:rPr>
              <w:t>年1月1日至招标公告日前</w:t>
            </w:r>
            <w:r>
              <w:rPr>
                <w:rFonts w:hint="eastAsia" w:ascii="宋体" w:hAnsi="宋体" w:eastAsia="宋体" w:cs="宋体"/>
                <w:b w:val="0"/>
                <w:bCs w:val="0"/>
                <w:color w:val="auto"/>
                <w:sz w:val="24"/>
                <w:szCs w:val="24"/>
                <w:highlight w:val="none"/>
                <w:lang w:val="en-US" w:eastAsia="zh-CN"/>
              </w:rPr>
              <w:t>经国家认可的省级及以上质量检验检测中心出具</w:t>
            </w:r>
            <w:r>
              <w:rPr>
                <w:rFonts w:hint="eastAsia" w:ascii="宋体" w:hAnsi="宋体" w:eastAsia="宋体" w:cs="宋体"/>
                <w:b w:val="0"/>
                <w:bCs w:val="0"/>
                <w:color w:val="auto"/>
                <w:sz w:val="24"/>
                <w:szCs w:val="24"/>
                <w:highlight w:val="none"/>
                <w:lang w:val="zh-CN"/>
              </w:rPr>
              <w:t>的</w:t>
            </w:r>
            <w:r>
              <w:rPr>
                <w:rFonts w:hint="eastAsia" w:ascii="宋体" w:hAnsi="宋体" w:eastAsia="宋体" w:cs="宋体"/>
                <w:b w:val="0"/>
                <w:bCs w:val="0"/>
                <w:color w:val="auto"/>
                <w:sz w:val="24"/>
                <w:szCs w:val="24"/>
                <w:highlight w:val="none"/>
              </w:rPr>
              <w:t>主要金属原材料的抽样检验</w:t>
            </w:r>
            <w:r>
              <w:rPr>
                <w:rFonts w:hint="eastAsia" w:ascii="宋体" w:hAnsi="宋体" w:eastAsia="宋体" w:cs="宋体"/>
                <w:b w:val="0"/>
                <w:bCs w:val="0"/>
                <w:color w:val="auto"/>
                <w:sz w:val="24"/>
                <w:szCs w:val="24"/>
                <w:highlight w:val="none"/>
                <w:lang w:val="en-US" w:eastAsia="zh-CN"/>
              </w:rPr>
              <w:t>合格</w:t>
            </w:r>
            <w:r>
              <w:rPr>
                <w:rFonts w:hint="eastAsia" w:ascii="宋体" w:hAnsi="宋体" w:eastAsia="宋体" w:cs="宋体"/>
                <w:b w:val="0"/>
                <w:bCs w:val="0"/>
                <w:color w:val="auto"/>
                <w:sz w:val="24"/>
                <w:szCs w:val="24"/>
                <w:highlight w:val="none"/>
              </w:rPr>
              <w:t>报告，受检单位与</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一致，至少含本次采购</w:t>
            </w:r>
            <w:r>
              <w:rPr>
                <w:rFonts w:hint="eastAsia" w:ascii="宋体" w:hAnsi="宋体" w:eastAsia="宋体" w:cs="宋体"/>
                <w:b w:val="0"/>
                <w:bCs w:val="0"/>
                <w:color w:val="auto"/>
                <w:sz w:val="24"/>
                <w:szCs w:val="24"/>
                <w:highlight w:val="none"/>
                <w:lang w:val="en-US" w:eastAsia="zh-CN"/>
              </w:rPr>
              <w:t>：导轨、铰链、三合一偏心连接件金属原材料均通过乙酸盐雾试验，连续喷雾试验≥480小时以及通过中性盐雾试验，连续喷雾试验≥720小时，镀层本身的耐腐蚀等级及镀层对基体的保护等级均达到10级，</w:t>
            </w:r>
            <w:r>
              <w:rPr>
                <w:rFonts w:hint="eastAsia" w:ascii="宋体" w:hAnsi="宋体" w:eastAsia="宋体" w:cs="宋体"/>
                <w:b w:val="0"/>
                <w:bCs w:val="0"/>
                <w:color w:val="auto"/>
                <w:sz w:val="24"/>
                <w:szCs w:val="24"/>
                <w:highlight w:val="none"/>
              </w:rPr>
              <w:t>全部满足得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分，缺1项扣</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分，扣完为止。(共</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655FBA7C">
            <w:pPr>
              <w:bidi w:val="0"/>
              <w:spacing w:line="36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注：检验报告检验签发日期须在2023年1月1日至招标公告日前由省级及以上检验机构出具，检验报告封面带有CNAS、CMA标志，受检单位与投标人一致，投标文件中须提供金属原材料抽样检验合格报告原件扫描件和全国认证认可信息公共服务平台查询截图（加盖投标人公章），否则不予认可。）</w:t>
            </w:r>
          </w:p>
        </w:tc>
        <w:tc>
          <w:tcPr>
            <w:tcW w:w="867" w:type="dxa"/>
            <w:noWrap w:val="0"/>
            <w:vAlign w:val="center"/>
          </w:tcPr>
          <w:p w14:paraId="097FEDE1">
            <w:pPr>
              <w:bidi w:val="0"/>
              <w:spacing w:line="360" w:lineRule="auto"/>
              <w:jc w:val="center"/>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tc>
      </w:tr>
      <w:tr w14:paraId="19CE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768A8881">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noWrap w:val="0"/>
            <w:vAlign w:val="center"/>
          </w:tcPr>
          <w:p w14:paraId="5F48996B">
            <w:pPr>
              <w:widowControl/>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生产和检测能力</w:t>
            </w:r>
          </w:p>
          <w:p w14:paraId="44EB09BC">
            <w:pPr>
              <w:widowControl/>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tc>
        <w:tc>
          <w:tcPr>
            <w:tcW w:w="6938" w:type="dxa"/>
            <w:noWrap w:val="0"/>
            <w:vAlign w:val="top"/>
          </w:tcPr>
          <w:p w14:paraId="7FD5CD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具有生产能力，</w:t>
            </w:r>
            <w:r>
              <w:rPr>
                <w:rFonts w:hint="eastAsia" w:ascii="宋体" w:hAnsi="宋体" w:eastAsia="宋体" w:cs="宋体"/>
                <w:b w:val="0"/>
                <w:bCs w:val="0"/>
                <w:color w:val="auto"/>
                <w:kern w:val="0"/>
                <w:sz w:val="24"/>
                <w:szCs w:val="24"/>
                <w:highlight w:val="none"/>
                <w:lang w:val="en-US" w:eastAsia="zh-CN"/>
              </w:rPr>
              <w:t>具有以下设备</w:t>
            </w:r>
            <w:r>
              <w:rPr>
                <w:rFonts w:hint="eastAsia" w:ascii="宋体" w:hAnsi="宋体" w:eastAsia="宋体" w:cs="宋体"/>
                <w:b w:val="0"/>
                <w:bCs w:val="0"/>
                <w:color w:val="auto"/>
                <w:kern w:val="0"/>
                <w:sz w:val="24"/>
                <w:szCs w:val="24"/>
                <w:highlight w:val="none"/>
              </w:rPr>
              <w:t>：全自动直线激光封边机及其控制系统、数控精密推台锯、全自动智能数控CNC开料系统、全自动智能数控多排钻-九排（自动上料）、数控智能截断锯、重型加工中心、高速电脑裁板机、木工车间脉冲袋式除尘设备、全自动智能化通过式CNC钻铣加工中心</w:t>
            </w:r>
            <w:r>
              <w:rPr>
                <w:rFonts w:hint="eastAsia" w:ascii="宋体" w:hAnsi="宋体" w:eastAsia="宋体" w:cs="宋体"/>
                <w:b w:val="0"/>
                <w:bCs w:val="0"/>
                <w:color w:val="auto"/>
                <w:kern w:val="0"/>
                <w:sz w:val="24"/>
                <w:szCs w:val="24"/>
                <w:highlight w:val="none"/>
                <w:lang w:eastAsia="zh-CN"/>
              </w:rPr>
              <w:t>、折弯排焊生产线、单平台激光切割机、高性能气动冲床、数控液压式剪板机</w:t>
            </w:r>
            <w:r>
              <w:rPr>
                <w:rFonts w:hint="eastAsia" w:ascii="宋体" w:hAnsi="宋体" w:eastAsia="宋体" w:cs="宋体"/>
                <w:b w:val="0"/>
                <w:bCs w:val="0"/>
                <w:color w:val="auto"/>
                <w:kern w:val="0"/>
                <w:sz w:val="24"/>
                <w:szCs w:val="24"/>
                <w:highlight w:val="none"/>
              </w:rPr>
              <w:t>，全部满足得满分</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kern w:val="0"/>
                <w:sz w:val="24"/>
                <w:szCs w:val="24"/>
                <w:highlight w:val="none"/>
              </w:rPr>
              <w:t>分，缺1项扣0.5分，扣完为止。</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p w14:paraId="6BCB65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具有产品质量检验能力，</w:t>
            </w:r>
            <w:r>
              <w:rPr>
                <w:rFonts w:hint="eastAsia" w:ascii="宋体" w:hAnsi="宋体" w:eastAsia="宋体" w:cs="宋体"/>
                <w:b w:val="0"/>
                <w:bCs w:val="0"/>
                <w:color w:val="auto"/>
                <w:kern w:val="0"/>
                <w:sz w:val="24"/>
                <w:szCs w:val="24"/>
                <w:highlight w:val="none"/>
                <w:lang w:val="en-US" w:eastAsia="zh-CN"/>
              </w:rPr>
              <w:t>具有以下设备</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lang w:val="en-US" w:eastAsia="zh-CN"/>
              </w:rPr>
              <w:t>办公家具综合力学试验机、柜类稳定性测试仪、紫外线老化试验箱、大型跌落试验机、可程式盐雾试验机、边压强度试验机、家具人造板甲醛测试仪、木材含水率测定仪、冷热冲击试验箱、划痕测试仪、全自动破裂强度试验机，</w:t>
            </w:r>
            <w:r>
              <w:rPr>
                <w:rFonts w:hint="eastAsia" w:ascii="宋体" w:hAnsi="宋体" w:eastAsia="宋体" w:cs="宋体"/>
                <w:b w:val="0"/>
                <w:bCs w:val="0"/>
                <w:color w:val="auto"/>
                <w:kern w:val="0"/>
                <w:sz w:val="24"/>
                <w:szCs w:val="24"/>
                <w:highlight w:val="none"/>
              </w:rPr>
              <w:t>全部满足得满分</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kern w:val="0"/>
                <w:sz w:val="24"/>
                <w:szCs w:val="24"/>
                <w:highlight w:val="none"/>
              </w:rPr>
              <w:t>分，缺1项扣0.5分，扣完为止。</w:t>
            </w:r>
            <w:r>
              <w:rPr>
                <w:rFonts w:hint="eastAsia" w:ascii="宋体" w:hAnsi="宋体" w:eastAsia="宋体" w:cs="宋体"/>
                <w:b w:val="0"/>
                <w:bCs w:val="0"/>
                <w:color w:val="auto"/>
                <w:sz w:val="24"/>
                <w:szCs w:val="24"/>
                <w:highlight w:val="none"/>
              </w:rPr>
              <w:t>(共</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p w14:paraId="4B97B0E4">
            <w:pPr>
              <w:bidi w:val="0"/>
              <w:spacing w:line="360" w:lineRule="auto"/>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（注：投标文件中须提供购买设备发票复印件（均加盖</w:t>
            </w: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公章）；1.如设备名称不一致，应提供设备的技术资料、参数性能、现场使用照片及设备制造商的官网截图以证明其所购设备与上列要求的设备具有同等功能水平；2.发票购买方名称为所投产品生产厂家全资子公司的，提供在“国家企业信用信息公示系统”上查询截图及网址，以子公司在“国家企业信用信息公示系统”上查询的股东及出资信息为准。3.发票开具的日期需在发布公告日期之前。）</w:t>
            </w:r>
          </w:p>
        </w:tc>
        <w:tc>
          <w:tcPr>
            <w:tcW w:w="867" w:type="dxa"/>
            <w:noWrap w:val="0"/>
            <w:vAlign w:val="center"/>
          </w:tcPr>
          <w:p w14:paraId="1DE17963">
            <w:pPr>
              <w:bidi w:val="0"/>
              <w:spacing w:line="360" w:lineRule="auto"/>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zh-CN"/>
              </w:rPr>
              <w:t>5分</w:t>
            </w:r>
          </w:p>
        </w:tc>
      </w:tr>
      <w:tr w14:paraId="4582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4A2C19A0">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noWrap w:val="0"/>
            <w:vAlign w:val="center"/>
          </w:tcPr>
          <w:p w14:paraId="43ED24AC">
            <w:pPr>
              <w:widowControl/>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产品标识</w:t>
            </w:r>
          </w:p>
        </w:tc>
        <w:tc>
          <w:tcPr>
            <w:tcW w:w="6938" w:type="dxa"/>
            <w:noWrap w:val="0"/>
            <w:vAlign w:val="top"/>
          </w:tcPr>
          <w:p w14:paraId="5E8459DB">
            <w:pPr>
              <w:bidi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所有产品均为品牌自有制造，加有品牌LOGO标识，满分1分。</w:t>
            </w:r>
          </w:p>
        </w:tc>
        <w:tc>
          <w:tcPr>
            <w:tcW w:w="867" w:type="dxa"/>
            <w:noWrap w:val="0"/>
            <w:vAlign w:val="center"/>
          </w:tcPr>
          <w:p w14:paraId="5E0EB84C">
            <w:pPr>
              <w:bidi w:val="0"/>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1分</w:t>
            </w:r>
          </w:p>
        </w:tc>
      </w:tr>
      <w:tr w14:paraId="2E30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3" w:type="dxa"/>
            <w:gridSpan w:val="4"/>
            <w:noWrap w:val="0"/>
            <w:vAlign w:val="center"/>
          </w:tcPr>
          <w:p w14:paraId="1DF19E5A">
            <w:pPr>
              <w:numPr>
                <w:ilvl w:val="0"/>
                <w:numId w:val="4"/>
              </w:numPr>
              <w:bidi w:val="0"/>
              <w:spacing w:line="360" w:lineRule="auto"/>
              <w:jc w:val="center"/>
              <w:rPr>
                <w:rFonts w:hint="default"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履行合同能力评价（20分）</w:t>
            </w:r>
          </w:p>
        </w:tc>
      </w:tr>
      <w:tr w14:paraId="69E8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5FD8F57">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noWrap w:val="0"/>
            <w:vAlign w:val="center"/>
          </w:tcPr>
          <w:p w14:paraId="2E8AA0C7">
            <w:p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cs="宋体"/>
                <w:b w:val="0"/>
                <w:bCs w:val="0"/>
                <w:color w:val="auto"/>
                <w:sz w:val="24"/>
                <w:szCs w:val="24"/>
                <w:highlight w:val="none"/>
                <w:lang w:val="en-US" w:eastAsia="zh-CN"/>
              </w:rPr>
              <w:t>项目组织实施方案</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tc>
        <w:tc>
          <w:tcPr>
            <w:tcW w:w="6938" w:type="dxa"/>
            <w:noWrap w:val="0"/>
            <w:vAlign w:val="center"/>
          </w:tcPr>
          <w:p w14:paraId="078B33C9">
            <w:pPr>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项目组织实施与保障包括家具的设计优化、制造、供货、包装运输、安装、验收、培训、技术服务等。满分10分</w:t>
            </w:r>
            <w:r>
              <w:rPr>
                <w:rFonts w:hint="eastAsia" w:ascii="宋体" w:hAnsi="宋体" w:cs="宋体"/>
                <w:b w:val="0"/>
                <w:bCs w:val="0"/>
                <w:color w:val="auto"/>
                <w:sz w:val="24"/>
                <w:szCs w:val="24"/>
                <w:highlight w:val="none"/>
                <w:lang w:val="en-US" w:eastAsia="zh-CN"/>
              </w:rPr>
              <w:t>。</w:t>
            </w:r>
          </w:p>
          <w:p w14:paraId="252B135D">
            <w:pPr>
              <w:spacing w:line="360" w:lineRule="auto"/>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.实施方案科学合理、保障措施得当，针对本项目实施有重点、难点分析并给出相应的解决办法；进度安排、质量保证、试运行及验收方案描述合理、完整。根据方案合理性、可行性、全面性等</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赋0-</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分。(共</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65A4B0E7">
            <w:p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.针对本项目有具体的供货组织安排，详细的人员、财力调配、运输、派送措施，设备到货后的安装计划方案等，根据方案合理性、可行性、全面性等  赋0-</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分。(共</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867" w:type="dxa"/>
            <w:noWrap w:val="0"/>
            <w:vAlign w:val="center"/>
          </w:tcPr>
          <w:p w14:paraId="29929C4B">
            <w:p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tc>
      </w:tr>
      <w:tr w14:paraId="6A69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4F58F2E6">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noWrap w:val="0"/>
            <w:vAlign w:val="center"/>
          </w:tcPr>
          <w:p w14:paraId="00B4225A">
            <w:p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rPr>
              <w:t>售后服务</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w:t>
            </w:r>
          </w:p>
        </w:tc>
        <w:tc>
          <w:tcPr>
            <w:tcW w:w="6938" w:type="dxa"/>
            <w:noWrap w:val="0"/>
            <w:vAlign w:val="top"/>
          </w:tcPr>
          <w:p w14:paraId="58AA4BEF">
            <w:p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rPr>
              <w:t>投标人提供详细可行的完善可靠的售后服务方案，方案科学完整、内容针对性强；措施合理、可行性强得</w:t>
            </w:r>
            <w:r>
              <w:rPr>
                <w:rFonts w:hint="eastAsia" w:ascii="宋体" w:hAnsi="宋体" w:cs="宋体"/>
                <w:b w:val="0"/>
                <w:bCs w:val="0"/>
                <w:color w:val="auto"/>
                <w:sz w:val="24"/>
                <w:szCs w:val="24"/>
                <w:highlight w:val="none"/>
                <w:lang w:val="en-US" w:eastAsia="zh-CN"/>
              </w:rPr>
              <w:t>5-3.1</w:t>
            </w:r>
            <w:r>
              <w:rPr>
                <w:rFonts w:hint="eastAsia" w:ascii="宋体" w:hAnsi="宋体" w:eastAsia="宋体" w:cs="宋体"/>
                <w:b w:val="0"/>
                <w:bCs w:val="0"/>
                <w:color w:val="auto"/>
                <w:sz w:val="24"/>
                <w:szCs w:val="24"/>
                <w:highlight w:val="none"/>
              </w:rPr>
              <w:t>分；一项不合理或不完整扣</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分，扣完为止。(共</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867" w:type="dxa"/>
            <w:noWrap w:val="0"/>
            <w:vAlign w:val="center"/>
          </w:tcPr>
          <w:p w14:paraId="3E7E5298">
            <w:pPr>
              <w:spacing w:line="360" w:lineRule="auto"/>
              <w:jc w:val="left"/>
              <w:rPr>
                <w:rFonts w:hint="eastAsia" w:ascii="宋体" w:hAnsi="宋体" w:eastAsia="宋体" w:cs="宋体"/>
                <w:b w:val="0"/>
                <w:bCs w:val="0"/>
                <w:color w:val="auto"/>
                <w:sz w:val="24"/>
                <w:szCs w:val="24"/>
                <w:highlight w:val="none"/>
                <w:vertAlign w:val="baseli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269F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60" w:type="dxa"/>
            <w:noWrap w:val="0"/>
            <w:vAlign w:val="center"/>
          </w:tcPr>
          <w:p w14:paraId="20163281">
            <w:pPr>
              <w:numPr>
                <w:ilvl w:val="0"/>
                <w:numId w:val="3"/>
              </w:numPr>
              <w:spacing w:line="360" w:lineRule="auto"/>
              <w:ind w:left="425" w:leftChars="0" w:hanging="425" w:firstLineChars="0"/>
              <w:jc w:val="center"/>
              <w:rPr>
                <w:rFonts w:hint="default" w:ascii="宋体" w:hAnsi="宋体" w:eastAsia="宋体" w:cs="宋体"/>
                <w:b w:val="0"/>
                <w:bCs w:val="0"/>
                <w:color w:val="auto"/>
                <w:sz w:val="24"/>
                <w:szCs w:val="24"/>
                <w:highlight w:val="none"/>
                <w:vertAlign w:val="baseline"/>
                <w:lang w:val="en-US" w:eastAsia="zh-CN"/>
              </w:rPr>
            </w:pPr>
          </w:p>
        </w:tc>
        <w:tc>
          <w:tcPr>
            <w:tcW w:w="1268" w:type="dxa"/>
            <w:noWrap w:val="0"/>
            <w:vAlign w:val="center"/>
          </w:tcPr>
          <w:p w14:paraId="41608526">
            <w:pPr>
              <w:spacing w:line="360" w:lineRule="auto"/>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质保期</w:t>
            </w:r>
          </w:p>
          <w:p w14:paraId="2F476922">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（5分）</w:t>
            </w:r>
          </w:p>
        </w:tc>
        <w:tc>
          <w:tcPr>
            <w:tcW w:w="6938" w:type="dxa"/>
            <w:noWrap w:val="0"/>
            <w:vAlign w:val="top"/>
          </w:tcPr>
          <w:p w14:paraId="7F4079BF">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质保期</w:t>
            </w:r>
            <w:r>
              <w:rPr>
                <w:rFonts w:hint="eastAsia" w:ascii="宋体" w:hAnsi="宋体" w:cs="宋体"/>
                <w:b w:val="0"/>
                <w:bCs w:val="0"/>
                <w:color w:val="auto"/>
                <w:sz w:val="24"/>
                <w:szCs w:val="24"/>
                <w:highlight w:val="none"/>
                <w:lang w:val="en-US" w:eastAsia="zh-CN"/>
              </w:rPr>
              <w:t>承诺</w:t>
            </w:r>
            <w:r>
              <w:rPr>
                <w:rFonts w:hint="eastAsia" w:ascii="宋体" w:hAnsi="宋体" w:eastAsia="宋体" w:cs="宋体"/>
                <w:b w:val="0"/>
                <w:bCs w:val="0"/>
                <w:color w:val="auto"/>
                <w:sz w:val="24"/>
                <w:szCs w:val="24"/>
                <w:highlight w:val="none"/>
              </w:rPr>
              <w:t>6年，得2分，每</w:t>
            </w:r>
            <w:r>
              <w:rPr>
                <w:rFonts w:hint="eastAsia" w:ascii="宋体" w:hAnsi="宋体" w:cs="宋体"/>
                <w:b w:val="0"/>
                <w:bCs w:val="0"/>
                <w:color w:val="auto"/>
                <w:sz w:val="24"/>
                <w:szCs w:val="24"/>
                <w:highlight w:val="none"/>
                <w:lang w:val="en-US" w:eastAsia="zh-CN"/>
              </w:rPr>
              <w:t>延长2</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加</w:t>
            </w:r>
            <w:r>
              <w:rPr>
                <w:rFonts w:hint="eastAsia" w:ascii="宋体" w:hAnsi="宋体" w:eastAsia="宋体" w:cs="宋体"/>
                <w:b w:val="0"/>
                <w:bCs w:val="0"/>
                <w:color w:val="auto"/>
                <w:sz w:val="24"/>
                <w:szCs w:val="24"/>
                <w:highlight w:val="none"/>
              </w:rPr>
              <w:t>1分，直至满分。</w:t>
            </w:r>
          </w:p>
        </w:tc>
        <w:tc>
          <w:tcPr>
            <w:tcW w:w="867" w:type="dxa"/>
            <w:noWrap w:val="0"/>
            <w:vAlign w:val="center"/>
          </w:tcPr>
          <w:p w14:paraId="42194CE1">
            <w:pPr>
              <w:spacing w:line="360" w:lineRule="auto"/>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5分</w:t>
            </w:r>
          </w:p>
        </w:tc>
      </w:tr>
      <w:tr w14:paraId="258F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3" w:type="dxa"/>
            <w:gridSpan w:val="4"/>
            <w:noWrap w:val="0"/>
            <w:vAlign w:val="center"/>
          </w:tcPr>
          <w:p w14:paraId="26FA4112">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增值服务（</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0分）</w:t>
            </w:r>
          </w:p>
        </w:tc>
      </w:tr>
      <w:tr w14:paraId="0705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39499924">
            <w:pPr>
              <w:spacing w:line="36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24</w:t>
            </w:r>
          </w:p>
        </w:tc>
        <w:tc>
          <w:tcPr>
            <w:tcW w:w="1268" w:type="dxa"/>
            <w:vMerge w:val="restart"/>
            <w:noWrap w:val="0"/>
            <w:vAlign w:val="center"/>
          </w:tcPr>
          <w:p w14:paraId="6FD7DC59">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增值服务（</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tc>
        <w:tc>
          <w:tcPr>
            <w:tcW w:w="6938" w:type="dxa"/>
            <w:noWrap w:val="0"/>
            <w:vAlign w:val="top"/>
          </w:tcPr>
          <w:p w14:paraId="40E71521">
            <w:pPr>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根据投标人提供的增值服务内容（关于家具翻新利旧等内容）的承诺进行评审，评为优得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.1分，评为良好得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.1分，评为一般得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.0～0分。</w:t>
            </w:r>
          </w:p>
        </w:tc>
        <w:tc>
          <w:tcPr>
            <w:tcW w:w="867" w:type="dxa"/>
            <w:noWrap w:val="0"/>
            <w:vAlign w:val="center"/>
          </w:tcPr>
          <w:p w14:paraId="14C0E35E">
            <w:pPr>
              <w:spacing w:line="360" w:lineRule="auto"/>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r>
      <w:tr w14:paraId="160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9D03208">
            <w:pPr>
              <w:spacing w:line="360" w:lineRule="auto"/>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25</w:t>
            </w:r>
          </w:p>
        </w:tc>
        <w:tc>
          <w:tcPr>
            <w:tcW w:w="1268" w:type="dxa"/>
            <w:vMerge w:val="continue"/>
            <w:noWrap w:val="0"/>
            <w:vAlign w:val="center"/>
          </w:tcPr>
          <w:p w14:paraId="12C6D465">
            <w:pPr>
              <w:spacing w:line="360" w:lineRule="auto"/>
              <w:jc w:val="left"/>
              <w:rPr>
                <w:rFonts w:hint="eastAsia" w:ascii="宋体" w:hAnsi="宋体" w:eastAsia="宋体" w:cs="宋体"/>
                <w:b w:val="0"/>
                <w:bCs w:val="0"/>
                <w:color w:val="auto"/>
                <w:sz w:val="24"/>
                <w:szCs w:val="24"/>
                <w:highlight w:val="none"/>
                <w:lang w:val="en-US" w:eastAsia="zh-CN"/>
              </w:rPr>
            </w:pPr>
          </w:p>
        </w:tc>
        <w:tc>
          <w:tcPr>
            <w:tcW w:w="6938" w:type="dxa"/>
            <w:noWrap w:val="0"/>
            <w:vAlign w:val="top"/>
          </w:tcPr>
          <w:p w14:paraId="7A37FCA2">
            <w:pPr>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其他未尽增值服务或优惠条件2分。</w:t>
            </w:r>
          </w:p>
        </w:tc>
        <w:tc>
          <w:tcPr>
            <w:tcW w:w="867" w:type="dxa"/>
            <w:noWrap w:val="0"/>
            <w:vAlign w:val="center"/>
          </w:tcPr>
          <w:p w14:paraId="43691A54">
            <w:pPr>
              <w:spacing w:line="360" w:lineRule="auto"/>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2分</w:t>
            </w:r>
          </w:p>
        </w:tc>
      </w:tr>
    </w:tbl>
    <w:p w14:paraId="5BCC6E1E">
      <w:pPr>
        <w:widowControl w:val="0"/>
        <w:topLinePunct/>
        <w:spacing w:line="360" w:lineRule="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注：</w:t>
      </w:r>
    </w:p>
    <w:p w14:paraId="3D4604E9">
      <w:pPr>
        <w:widowControl w:val="0"/>
        <w:topLinePunct/>
        <w:spacing w:line="360" w:lineRule="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未按要求提供的不予计分；</w:t>
      </w:r>
    </w:p>
    <w:p w14:paraId="0840C369">
      <w:pPr>
        <w:widowControl w:val="0"/>
        <w:topLinePunct/>
        <w:spacing w:line="360" w:lineRule="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2.</w:t>
      </w:r>
      <w:r>
        <w:rPr>
          <w:rFonts w:hint="eastAsia" w:ascii="宋体" w:hAnsi="宋体" w:eastAsia="宋体" w:cs="宋体"/>
          <w:b/>
          <w:bCs/>
          <w:color w:val="000000"/>
          <w:sz w:val="28"/>
          <w:szCs w:val="28"/>
          <w:highlight w:val="none"/>
        </w:rPr>
        <w:t>若</w:t>
      </w:r>
      <w:r>
        <w:rPr>
          <w:rFonts w:hint="eastAsia" w:ascii="宋体" w:hAnsi="宋体" w:eastAsia="宋体" w:cs="宋体"/>
          <w:b/>
          <w:bCs/>
          <w:color w:val="000000"/>
          <w:sz w:val="28"/>
          <w:szCs w:val="28"/>
          <w:highlight w:val="none"/>
          <w:lang w:eastAsia="zh-CN"/>
        </w:rPr>
        <w:t>投标人</w:t>
      </w:r>
      <w:r>
        <w:rPr>
          <w:rFonts w:hint="eastAsia" w:ascii="宋体" w:hAnsi="宋体" w:eastAsia="宋体" w:cs="宋体"/>
          <w:b/>
          <w:bCs/>
          <w:color w:val="000000"/>
          <w:sz w:val="28"/>
          <w:szCs w:val="28"/>
          <w:highlight w:val="none"/>
        </w:rPr>
        <w:t>单位名称等信息发生过变更，以至于影响到上述业绩评审时，应提供有效的证明文件复印件放入投标文件；</w:t>
      </w:r>
    </w:p>
    <w:p w14:paraId="3BAD765B">
      <w:pPr>
        <w:pStyle w:val="17"/>
        <w:widowControl w:val="0"/>
        <w:adjustRightInd w:val="0"/>
        <w:snapToGrid w:val="0"/>
        <w:spacing w:before="0" w:beforeAutospacing="0" w:after="0" w:afterAutospacing="0" w:line="360" w:lineRule="auto"/>
        <w:ind w:left="2280" w:hanging="2670" w:hangingChars="950"/>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rPr>
        <w:t>投标人须保证投标文件中提供的各项材料均真实有效，并可在中标公示期</w:t>
      </w:r>
    </w:p>
    <w:p w14:paraId="0CBB2434">
      <w:pPr>
        <w:pStyle w:val="17"/>
        <w:widowControl w:val="0"/>
        <w:adjustRightInd w:val="0"/>
        <w:snapToGrid w:val="0"/>
        <w:spacing w:before="0" w:beforeAutospacing="0" w:after="0" w:afterAutospacing="0" w:line="360" w:lineRule="auto"/>
        <w:ind w:left="2280" w:hanging="2670" w:hangingChars="950"/>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结束7日内提供检测报告及相关证书原件查验，如不能按要求提供或经审查、</w:t>
      </w:r>
    </w:p>
    <w:p w14:paraId="2105807B">
      <w:pPr>
        <w:pStyle w:val="17"/>
        <w:widowControl w:val="0"/>
        <w:adjustRightInd w:val="0"/>
        <w:snapToGrid w:val="0"/>
        <w:spacing w:before="0" w:beforeAutospacing="0" w:after="0" w:afterAutospacing="0" w:line="360" w:lineRule="auto"/>
        <w:ind w:left="2280" w:hanging="2670" w:hangingChars="950"/>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验证不能通过，则采购人将不与之签订合同，并要求中标单位承担一切相关</w:t>
      </w:r>
    </w:p>
    <w:p w14:paraId="5BF88934">
      <w:pPr>
        <w:pStyle w:val="17"/>
        <w:widowControl w:val="0"/>
        <w:adjustRightInd w:val="0"/>
        <w:snapToGrid w:val="0"/>
        <w:spacing w:before="0" w:beforeAutospacing="0" w:after="0" w:afterAutospacing="0" w:line="360" w:lineRule="auto"/>
        <w:ind w:left="2280" w:hanging="2670" w:hangingChars="950"/>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责任。</w:t>
      </w:r>
    </w:p>
    <w:p w14:paraId="05424EBE">
      <w:pPr>
        <w:pStyle w:val="17"/>
        <w:widowControl w:val="0"/>
        <w:adjustRightInd w:val="0"/>
        <w:snapToGrid w:val="0"/>
        <w:spacing w:before="0" w:beforeAutospacing="0" w:after="0" w:afterAutospacing="0" w:line="360" w:lineRule="auto"/>
        <w:jc w:val="both"/>
        <w:rPr>
          <w:rFonts w:hint="eastAsia" w:ascii="宋体" w:hAnsi="宋体" w:eastAsia="宋体" w:cs="宋体"/>
          <w:b/>
          <w:bCs/>
          <w:color w:val="000000"/>
          <w:sz w:val="52"/>
          <w:szCs w:val="52"/>
          <w:highlight w:val="none"/>
          <w:lang w:val="en-US" w:eastAsia="zh-CN"/>
        </w:rPr>
      </w:pPr>
    </w:p>
    <w:sectPr>
      <w:headerReference r:id="rId4" w:type="first"/>
      <w:footerReference r:id="rId7" w:type="first"/>
      <w:headerReference r:id="rId3" w:type="default"/>
      <w:footerReference r:id="rId5" w:type="default"/>
      <w:footerReference r:id="rId6" w:type="even"/>
      <w:pgSz w:w="11906" w:h="16838"/>
      <w:pgMar w:top="0" w:right="1106" w:bottom="28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0F35">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1D025C">
                          <w:pPr>
                            <w:pStyle w:val="13"/>
                            <w:rPr>
                              <w:rStyle w:val="23"/>
                            </w:rPr>
                          </w:pPr>
                          <w:r>
                            <w:fldChar w:fldCharType="begin"/>
                          </w:r>
                          <w:r>
                            <w:rPr>
                              <w:rStyle w:val="23"/>
                            </w:rPr>
                            <w:instrText xml:space="preserve">PAGE  </w:instrText>
                          </w:r>
                          <w:r>
                            <w:fldChar w:fldCharType="separate"/>
                          </w:r>
                          <w:r>
                            <w:rPr>
                              <w:rStyle w:val="23"/>
                            </w:rPr>
                            <w:t>- 2 -</w:t>
                          </w:r>
                          <w: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&#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5CYPdIBAACmAwAADgAAAAAAAAABACAAAAAi&#10;AQAAZHJzL2Uyb0RvYy54bWxQSwUGAAAAAAYABgBZAQAAZgUAAAAA&#10;">
              <v:fill on="f" focussize="0,0"/>
              <v:stroke on="f" weight="1.25pt"/>
              <v:imagedata o:title=""/>
              <o:lock v:ext="edit" aspectratio="f"/>
              <v:textbox inset="0mm,0mm,0mm,0mm" style="mso-fit-shape-to-text:t;">
                <w:txbxContent>
                  <w:p w14:paraId="7F1D025C">
                    <w:pPr>
                      <w:pStyle w:val="13"/>
                      <w:rPr>
                        <w:rStyle w:val="23"/>
                      </w:rPr>
                    </w:pPr>
                    <w:r>
                      <w:fldChar w:fldCharType="begin"/>
                    </w:r>
                    <w:r>
                      <w:rPr>
                        <w:rStyle w:val="23"/>
                      </w:rPr>
                      <w:instrText xml:space="preserve">PAGE  </w:instrText>
                    </w:r>
                    <w:r>
                      <w:fldChar w:fldCharType="separate"/>
                    </w:r>
                    <w:r>
                      <w:rPr>
                        <w:rStyle w:val="23"/>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BEB2">
    <w:pPr>
      <w:pStyle w:val="13"/>
      <w:framePr w:wrap="around" w:vAnchor="text" w:hAnchor="margin" w:xAlign="center" w:y="1"/>
      <w:rPr>
        <w:rStyle w:val="23"/>
      </w:rPr>
    </w:pPr>
    <w:r>
      <w:fldChar w:fldCharType="begin"/>
    </w:r>
    <w:r>
      <w:rPr>
        <w:rStyle w:val="23"/>
      </w:rPr>
      <w:instrText xml:space="preserve">PAGE  </w:instrText>
    </w:r>
    <w:r>
      <w:fldChar w:fldCharType="end"/>
    </w:r>
  </w:p>
  <w:p w14:paraId="6EB4B6E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2299">
    <w:pPr>
      <w:pStyle w:val="13"/>
      <w:framePr w:wrap="around" w:vAnchor="text" w:hAnchor="margin" w:xAlign="center" w:y="1"/>
      <w:rPr>
        <w:rStyle w:val="23"/>
      </w:rPr>
    </w:pPr>
  </w:p>
  <w:p w14:paraId="61400516">
    <w:pPr>
      <w:pStyle w:val="13"/>
      <w:jc w:val="center"/>
      <w:rPr>
        <w:rFonts w:hint="eastAsia"/>
      </w:rPr>
    </w:pPr>
    <w:r>
      <w:fldChar w:fldCharType="begin"/>
    </w:r>
    <w:r>
      <w:rPr>
        <w:rStyle w:val="23"/>
      </w:rPr>
      <w:instrText xml:space="preserve"> PAGE </w:instrText>
    </w:r>
    <w:r>
      <w:fldChar w:fldCharType="separate"/>
    </w:r>
    <w:r>
      <w:rPr>
        <w:rStyle w:val="23"/>
      </w:rPr>
      <w:t>- 15 -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62DC">
    <w:pPr>
      <w:pStyle w:val="14"/>
      <w:pBdr>
        <w:between w:val="single" w:color="4F81BD" w:sz="4" w:space="1"/>
      </w:pBdr>
      <w:spacing w:line="276"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A157">
    <w:pPr>
      <w:pStyle w:val="14"/>
      <w:rPr>
        <w:rFonts w:hint="eastAsia"/>
        <w:kern w:val="0"/>
        <w:szCs w:val="21"/>
        <w:u w:val="single"/>
      </w:rPr>
    </w:pPr>
  </w:p>
  <w:p w14:paraId="246047FF">
    <w:pPr>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4229E"/>
    <w:multiLevelType w:val="singleLevel"/>
    <w:tmpl w:val="9484229E"/>
    <w:lvl w:ilvl="0" w:tentative="0">
      <w:start w:val="1"/>
      <w:numFmt w:val="decimal"/>
      <w:suff w:val="nothing"/>
      <w:lvlText w:val="%1、"/>
      <w:lvlJc w:val="left"/>
    </w:lvl>
  </w:abstractNum>
  <w:abstractNum w:abstractNumId="1">
    <w:nsid w:val="A9CAA79B"/>
    <w:multiLevelType w:val="singleLevel"/>
    <w:tmpl w:val="A9CAA79B"/>
    <w:lvl w:ilvl="0" w:tentative="0">
      <w:start w:val="1"/>
      <w:numFmt w:val="decimal"/>
      <w:lvlText w:val="%1."/>
      <w:lvlJc w:val="left"/>
      <w:pPr>
        <w:ind w:left="425" w:hanging="425"/>
      </w:pPr>
      <w:rPr>
        <w:rFonts w:hint="default"/>
      </w:rPr>
    </w:lvl>
  </w:abstractNum>
  <w:abstractNum w:abstractNumId="2">
    <w:nsid w:val="B2AA1120"/>
    <w:multiLevelType w:val="singleLevel"/>
    <w:tmpl w:val="B2AA1120"/>
    <w:lvl w:ilvl="0" w:tentative="0">
      <w:start w:val="3"/>
      <w:numFmt w:val="chineseCounting"/>
      <w:suff w:val="space"/>
      <w:lvlText w:val="%1、"/>
      <w:lvlJc w:val="left"/>
      <w:rPr>
        <w:rFonts w:hint="eastAsia"/>
      </w:rPr>
    </w:lvl>
  </w:abstractNum>
  <w:abstractNum w:abstractNumId="3">
    <w:nsid w:val="3A5AB4FB"/>
    <w:multiLevelType w:val="singleLevel"/>
    <w:tmpl w:val="3A5AB4FB"/>
    <w:lvl w:ilvl="0" w:tentative="0">
      <w:start w:val="2"/>
      <w:numFmt w:val="decimal"/>
      <w:suff w:val="nothing"/>
      <w:lvlText w:val="%1、"/>
      <w:lvlJc w:val="left"/>
      <w:pPr>
        <w:ind w:left="96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45"/>
  <w:displayHorizontalDrawingGridEvery w:val="1"/>
  <w:displayVerticalDrawingGridEvery w:val="1"/>
  <w:noPunctuationKerning w:val="1"/>
  <w:characterSpacingControl w:val="compressPunctuation"/>
  <w:doNotValidateAgainstSchema/>
  <w:doNotDemarcateInvalidXml/>
  <w:hdrShapeDefaults>
    <o:shapelayout v:ext="edit">
      <o:idmap v:ext="edit" data="1,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mI2NmU2MzVkNjJkYTJmM2U1ZWE0YzBhNjA4ODAifQ=="/>
  </w:docVars>
  <w:rsids>
    <w:rsidRoot w:val="00381829"/>
    <w:rsid w:val="00000F7C"/>
    <w:rsid w:val="000011D1"/>
    <w:rsid w:val="00001D32"/>
    <w:rsid w:val="00002F9A"/>
    <w:rsid w:val="00003527"/>
    <w:rsid w:val="0000596D"/>
    <w:rsid w:val="00007C32"/>
    <w:rsid w:val="00007E64"/>
    <w:rsid w:val="00011FA1"/>
    <w:rsid w:val="00012CF0"/>
    <w:rsid w:val="00013489"/>
    <w:rsid w:val="00013A62"/>
    <w:rsid w:val="00013BAD"/>
    <w:rsid w:val="00015D57"/>
    <w:rsid w:val="00016581"/>
    <w:rsid w:val="00016EA4"/>
    <w:rsid w:val="00016EBF"/>
    <w:rsid w:val="00016FF2"/>
    <w:rsid w:val="00017888"/>
    <w:rsid w:val="00017AD5"/>
    <w:rsid w:val="000227D2"/>
    <w:rsid w:val="00024158"/>
    <w:rsid w:val="0002433B"/>
    <w:rsid w:val="00024BBC"/>
    <w:rsid w:val="00025CA3"/>
    <w:rsid w:val="00025DE1"/>
    <w:rsid w:val="0002736A"/>
    <w:rsid w:val="000309A9"/>
    <w:rsid w:val="00030EE0"/>
    <w:rsid w:val="00032CB8"/>
    <w:rsid w:val="0003352B"/>
    <w:rsid w:val="00035B99"/>
    <w:rsid w:val="00036047"/>
    <w:rsid w:val="0003695F"/>
    <w:rsid w:val="00036BD5"/>
    <w:rsid w:val="000370D0"/>
    <w:rsid w:val="00037EC8"/>
    <w:rsid w:val="00040514"/>
    <w:rsid w:val="00041295"/>
    <w:rsid w:val="00041A77"/>
    <w:rsid w:val="000420A2"/>
    <w:rsid w:val="000420BB"/>
    <w:rsid w:val="000426F4"/>
    <w:rsid w:val="00044BBA"/>
    <w:rsid w:val="000459C7"/>
    <w:rsid w:val="00051650"/>
    <w:rsid w:val="00052F74"/>
    <w:rsid w:val="00053511"/>
    <w:rsid w:val="00053D1E"/>
    <w:rsid w:val="00055F9D"/>
    <w:rsid w:val="0005673C"/>
    <w:rsid w:val="000576E1"/>
    <w:rsid w:val="00062789"/>
    <w:rsid w:val="00063121"/>
    <w:rsid w:val="00063E3C"/>
    <w:rsid w:val="00066C9E"/>
    <w:rsid w:val="00067230"/>
    <w:rsid w:val="0006728D"/>
    <w:rsid w:val="00070A0C"/>
    <w:rsid w:val="00071391"/>
    <w:rsid w:val="00072258"/>
    <w:rsid w:val="000763C8"/>
    <w:rsid w:val="00076CD1"/>
    <w:rsid w:val="00080C95"/>
    <w:rsid w:val="00082482"/>
    <w:rsid w:val="00084578"/>
    <w:rsid w:val="00084D9D"/>
    <w:rsid w:val="000855F3"/>
    <w:rsid w:val="00086CAF"/>
    <w:rsid w:val="000871EA"/>
    <w:rsid w:val="00087D47"/>
    <w:rsid w:val="000905D4"/>
    <w:rsid w:val="000917AA"/>
    <w:rsid w:val="000917FF"/>
    <w:rsid w:val="00092CE8"/>
    <w:rsid w:val="00093E98"/>
    <w:rsid w:val="00094614"/>
    <w:rsid w:val="00094B07"/>
    <w:rsid w:val="0009536B"/>
    <w:rsid w:val="000A0536"/>
    <w:rsid w:val="000A0A79"/>
    <w:rsid w:val="000A6CFA"/>
    <w:rsid w:val="000A73BC"/>
    <w:rsid w:val="000A7F46"/>
    <w:rsid w:val="000B0668"/>
    <w:rsid w:val="000B37B5"/>
    <w:rsid w:val="000B43A2"/>
    <w:rsid w:val="000B4874"/>
    <w:rsid w:val="000B6E25"/>
    <w:rsid w:val="000B78BE"/>
    <w:rsid w:val="000C1525"/>
    <w:rsid w:val="000C1A35"/>
    <w:rsid w:val="000C24B0"/>
    <w:rsid w:val="000C26C9"/>
    <w:rsid w:val="000C2E8B"/>
    <w:rsid w:val="000C4F03"/>
    <w:rsid w:val="000C4F14"/>
    <w:rsid w:val="000C4F57"/>
    <w:rsid w:val="000C54AF"/>
    <w:rsid w:val="000C5F8F"/>
    <w:rsid w:val="000C6BB7"/>
    <w:rsid w:val="000C727D"/>
    <w:rsid w:val="000C73D4"/>
    <w:rsid w:val="000D0693"/>
    <w:rsid w:val="000D0970"/>
    <w:rsid w:val="000D1596"/>
    <w:rsid w:val="000D26F4"/>
    <w:rsid w:val="000D4967"/>
    <w:rsid w:val="000D4CBC"/>
    <w:rsid w:val="000D7F7C"/>
    <w:rsid w:val="000E0266"/>
    <w:rsid w:val="000E1007"/>
    <w:rsid w:val="000E1300"/>
    <w:rsid w:val="000E36A5"/>
    <w:rsid w:val="000E3A00"/>
    <w:rsid w:val="000E4090"/>
    <w:rsid w:val="000E483A"/>
    <w:rsid w:val="000E760C"/>
    <w:rsid w:val="000E778D"/>
    <w:rsid w:val="000F28F1"/>
    <w:rsid w:val="000F2F7F"/>
    <w:rsid w:val="000F406C"/>
    <w:rsid w:val="000F50CE"/>
    <w:rsid w:val="000F7092"/>
    <w:rsid w:val="000F7E01"/>
    <w:rsid w:val="00102AA1"/>
    <w:rsid w:val="001033F4"/>
    <w:rsid w:val="001058E1"/>
    <w:rsid w:val="00110DBA"/>
    <w:rsid w:val="001119BD"/>
    <w:rsid w:val="001139A7"/>
    <w:rsid w:val="00115B86"/>
    <w:rsid w:val="00117E13"/>
    <w:rsid w:val="00121824"/>
    <w:rsid w:val="0012764B"/>
    <w:rsid w:val="001278A5"/>
    <w:rsid w:val="00130C0E"/>
    <w:rsid w:val="00131DB8"/>
    <w:rsid w:val="00132721"/>
    <w:rsid w:val="00132B4C"/>
    <w:rsid w:val="00133200"/>
    <w:rsid w:val="00133575"/>
    <w:rsid w:val="00134DDF"/>
    <w:rsid w:val="001403BA"/>
    <w:rsid w:val="00141063"/>
    <w:rsid w:val="00141D56"/>
    <w:rsid w:val="00143991"/>
    <w:rsid w:val="0014512D"/>
    <w:rsid w:val="00145315"/>
    <w:rsid w:val="0014760F"/>
    <w:rsid w:val="00151CAE"/>
    <w:rsid w:val="0015367B"/>
    <w:rsid w:val="00153EAE"/>
    <w:rsid w:val="00154032"/>
    <w:rsid w:val="00157CB5"/>
    <w:rsid w:val="001623F0"/>
    <w:rsid w:val="00163AA9"/>
    <w:rsid w:val="00165A06"/>
    <w:rsid w:val="00166CEC"/>
    <w:rsid w:val="00173250"/>
    <w:rsid w:val="00173640"/>
    <w:rsid w:val="00174FE6"/>
    <w:rsid w:val="001754FC"/>
    <w:rsid w:val="00175757"/>
    <w:rsid w:val="00176B14"/>
    <w:rsid w:val="00177258"/>
    <w:rsid w:val="00183036"/>
    <w:rsid w:val="0018364F"/>
    <w:rsid w:val="001842BE"/>
    <w:rsid w:val="00184396"/>
    <w:rsid w:val="00184A88"/>
    <w:rsid w:val="0018533A"/>
    <w:rsid w:val="00185D50"/>
    <w:rsid w:val="00187BC3"/>
    <w:rsid w:val="00187C7F"/>
    <w:rsid w:val="001909CC"/>
    <w:rsid w:val="0019128F"/>
    <w:rsid w:val="00195D7A"/>
    <w:rsid w:val="0019729C"/>
    <w:rsid w:val="001A0290"/>
    <w:rsid w:val="001A17F5"/>
    <w:rsid w:val="001A226A"/>
    <w:rsid w:val="001A26ED"/>
    <w:rsid w:val="001A2B4D"/>
    <w:rsid w:val="001A2C44"/>
    <w:rsid w:val="001A31EC"/>
    <w:rsid w:val="001A4EA4"/>
    <w:rsid w:val="001A594A"/>
    <w:rsid w:val="001A7AC4"/>
    <w:rsid w:val="001B03A1"/>
    <w:rsid w:val="001B2542"/>
    <w:rsid w:val="001B30E7"/>
    <w:rsid w:val="001B33E1"/>
    <w:rsid w:val="001B33F8"/>
    <w:rsid w:val="001B35C7"/>
    <w:rsid w:val="001B3A49"/>
    <w:rsid w:val="001B3C1C"/>
    <w:rsid w:val="001B4D38"/>
    <w:rsid w:val="001B58EE"/>
    <w:rsid w:val="001B64B4"/>
    <w:rsid w:val="001B6D2B"/>
    <w:rsid w:val="001B6E79"/>
    <w:rsid w:val="001B6EC6"/>
    <w:rsid w:val="001C1981"/>
    <w:rsid w:val="001C1B2C"/>
    <w:rsid w:val="001C42E6"/>
    <w:rsid w:val="001C5D24"/>
    <w:rsid w:val="001C6F4D"/>
    <w:rsid w:val="001D24EA"/>
    <w:rsid w:val="001D426E"/>
    <w:rsid w:val="001D42A0"/>
    <w:rsid w:val="001D43A9"/>
    <w:rsid w:val="001D6781"/>
    <w:rsid w:val="001D7197"/>
    <w:rsid w:val="001D7FC7"/>
    <w:rsid w:val="001E106E"/>
    <w:rsid w:val="001E3A2A"/>
    <w:rsid w:val="001E4C92"/>
    <w:rsid w:val="001E594E"/>
    <w:rsid w:val="001E6AB6"/>
    <w:rsid w:val="001E6C42"/>
    <w:rsid w:val="001E7893"/>
    <w:rsid w:val="001E7AAF"/>
    <w:rsid w:val="001F05AD"/>
    <w:rsid w:val="001F0C92"/>
    <w:rsid w:val="001F1960"/>
    <w:rsid w:val="001F1E58"/>
    <w:rsid w:val="001F2CCB"/>
    <w:rsid w:val="001F2DAB"/>
    <w:rsid w:val="001F307E"/>
    <w:rsid w:val="001F3CAA"/>
    <w:rsid w:val="001F5A19"/>
    <w:rsid w:val="00201AD5"/>
    <w:rsid w:val="00201BB3"/>
    <w:rsid w:val="00202E5A"/>
    <w:rsid w:val="00203A51"/>
    <w:rsid w:val="00203EC8"/>
    <w:rsid w:val="00206CAC"/>
    <w:rsid w:val="00206DE9"/>
    <w:rsid w:val="002077B3"/>
    <w:rsid w:val="00210344"/>
    <w:rsid w:val="00213595"/>
    <w:rsid w:val="00213BF3"/>
    <w:rsid w:val="00216F62"/>
    <w:rsid w:val="00217610"/>
    <w:rsid w:val="00217F3C"/>
    <w:rsid w:val="00223AA7"/>
    <w:rsid w:val="00223F34"/>
    <w:rsid w:val="002242F8"/>
    <w:rsid w:val="0022443C"/>
    <w:rsid w:val="00224F54"/>
    <w:rsid w:val="00225070"/>
    <w:rsid w:val="002261A5"/>
    <w:rsid w:val="00226455"/>
    <w:rsid w:val="002266AC"/>
    <w:rsid w:val="002302C5"/>
    <w:rsid w:val="00231736"/>
    <w:rsid w:val="00233877"/>
    <w:rsid w:val="00234B7E"/>
    <w:rsid w:val="00234DEF"/>
    <w:rsid w:val="002358C2"/>
    <w:rsid w:val="00236C43"/>
    <w:rsid w:val="00237171"/>
    <w:rsid w:val="0023736E"/>
    <w:rsid w:val="002378C8"/>
    <w:rsid w:val="002378E2"/>
    <w:rsid w:val="0024043F"/>
    <w:rsid w:val="0024371E"/>
    <w:rsid w:val="002460E4"/>
    <w:rsid w:val="0024756C"/>
    <w:rsid w:val="00247A21"/>
    <w:rsid w:val="00247BBC"/>
    <w:rsid w:val="00251A02"/>
    <w:rsid w:val="00253196"/>
    <w:rsid w:val="002539D0"/>
    <w:rsid w:val="00254417"/>
    <w:rsid w:val="00257A78"/>
    <w:rsid w:val="002602AE"/>
    <w:rsid w:val="0026051C"/>
    <w:rsid w:val="00262A7B"/>
    <w:rsid w:val="00263E12"/>
    <w:rsid w:val="0026568E"/>
    <w:rsid w:val="00266075"/>
    <w:rsid w:val="002674D3"/>
    <w:rsid w:val="00273E06"/>
    <w:rsid w:val="00274222"/>
    <w:rsid w:val="002755DA"/>
    <w:rsid w:val="0027639F"/>
    <w:rsid w:val="002763F0"/>
    <w:rsid w:val="002765D1"/>
    <w:rsid w:val="00276941"/>
    <w:rsid w:val="00277111"/>
    <w:rsid w:val="00280E41"/>
    <w:rsid w:val="0028288E"/>
    <w:rsid w:val="00283179"/>
    <w:rsid w:val="00284954"/>
    <w:rsid w:val="00286ECD"/>
    <w:rsid w:val="00287CB3"/>
    <w:rsid w:val="00287FE6"/>
    <w:rsid w:val="00290B24"/>
    <w:rsid w:val="0029131B"/>
    <w:rsid w:val="00291A24"/>
    <w:rsid w:val="00291C2F"/>
    <w:rsid w:val="002921E6"/>
    <w:rsid w:val="00292FD2"/>
    <w:rsid w:val="00293103"/>
    <w:rsid w:val="00295617"/>
    <w:rsid w:val="002A0D36"/>
    <w:rsid w:val="002A2AC9"/>
    <w:rsid w:val="002A436A"/>
    <w:rsid w:val="002A4407"/>
    <w:rsid w:val="002A5B38"/>
    <w:rsid w:val="002A5B54"/>
    <w:rsid w:val="002A76E5"/>
    <w:rsid w:val="002A7E4E"/>
    <w:rsid w:val="002B12B9"/>
    <w:rsid w:val="002B319B"/>
    <w:rsid w:val="002B3784"/>
    <w:rsid w:val="002B5D09"/>
    <w:rsid w:val="002B7E2F"/>
    <w:rsid w:val="002C271A"/>
    <w:rsid w:val="002C2A13"/>
    <w:rsid w:val="002C30DE"/>
    <w:rsid w:val="002C4A1D"/>
    <w:rsid w:val="002C5498"/>
    <w:rsid w:val="002C5A6B"/>
    <w:rsid w:val="002C649B"/>
    <w:rsid w:val="002C661D"/>
    <w:rsid w:val="002C67EB"/>
    <w:rsid w:val="002D0B5B"/>
    <w:rsid w:val="002D0E10"/>
    <w:rsid w:val="002D360B"/>
    <w:rsid w:val="002D39E0"/>
    <w:rsid w:val="002D5AAC"/>
    <w:rsid w:val="002E0974"/>
    <w:rsid w:val="002E0A26"/>
    <w:rsid w:val="002E7546"/>
    <w:rsid w:val="002E7F23"/>
    <w:rsid w:val="002F1F03"/>
    <w:rsid w:val="002F2091"/>
    <w:rsid w:val="002F4573"/>
    <w:rsid w:val="002F501B"/>
    <w:rsid w:val="002F5B93"/>
    <w:rsid w:val="002F5C6F"/>
    <w:rsid w:val="002F615A"/>
    <w:rsid w:val="002F6421"/>
    <w:rsid w:val="002F65ED"/>
    <w:rsid w:val="002F791B"/>
    <w:rsid w:val="002F7BB8"/>
    <w:rsid w:val="002F7F81"/>
    <w:rsid w:val="003021C8"/>
    <w:rsid w:val="00304F3F"/>
    <w:rsid w:val="00306413"/>
    <w:rsid w:val="0030767B"/>
    <w:rsid w:val="00312845"/>
    <w:rsid w:val="003129BA"/>
    <w:rsid w:val="00313D6A"/>
    <w:rsid w:val="003143E5"/>
    <w:rsid w:val="0031452B"/>
    <w:rsid w:val="00314D98"/>
    <w:rsid w:val="003165FE"/>
    <w:rsid w:val="00316D73"/>
    <w:rsid w:val="00317164"/>
    <w:rsid w:val="00320857"/>
    <w:rsid w:val="00320F89"/>
    <w:rsid w:val="00324B93"/>
    <w:rsid w:val="00326425"/>
    <w:rsid w:val="00327E80"/>
    <w:rsid w:val="003310B2"/>
    <w:rsid w:val="00331BC5"/>
    <w:rsid w:val="00331D69"/>
    <w:rsid w:val="00334DD5"/>
    <w:rsid w:val="00336494"/>
    <w:rsid w:val="003365A7"/>
    <w:rsid w:val="0034062C"/>
    <w:rsid w:val="003409BE"/>
    <w:rsid w:val="00340D79"/>
    <w:rsid w:val="00340FAF"/>
    <w:rsid w:val="00341036"/>
    <w:rsid w:val="003411B3"/>
    <w:rsid w:val="003411DF"/>
    <w:rsid w:val="0034359C"/>
    <w:rsid w:val="00344483"/>
    <w:rsid w:val="00344B47"/>
    <w:rsid w:val="00345449"/>
    <w:rsid w:val="00345C78"/>
    <w:rsid w:val="003469D1"/>
    <w:rsid w:val="00347C26"/>
    <w:rsid w:val="00347F45"/>
    <w:rsid w:val="003510B3"/>
    <w:rsid w:val="003516FF"/>
    <w:rsid w:val="00352DEC"/>
    <w:rsid w:val="00356D60"/>
    <w:rsid w:val="003571D6"/>
    <w:rsid w:val="00360613"/>
    <w:rsid w:val="00361108"/>
    <w:rsid w:val="00361EE4"/>
    <w:rsid w:val="00362977"/>
    <w:rsid w:val="00362CA2"/>
    <w:rsid w:val="0036336A"/>
    <w:rsid w:val="0036508D"/>
    <w:rsid w:val="00370AC6"/>
    <w:rsid w:val="003720BF"/>
    <w:rsid w:val="00372181"/>
    <w:rsid w:val="00373A24"/>
    <w:rsid w:val="00373FFC"/>
    <w:rsid w:val="0037411F"/>
    <w:rsid w:val="0037529B"/>
    <w:rsid w:val="0037538C"/>
    <w:rsid w:val="00376515"/>
    <w:rsid w:val="00376771"/>
    <w:rsid w:val="00381829"/>
    <w:rsid w:val="00382528"/>
    <w:rsid w:val="00382F06"/>
    <w:rsid w:val="003834DF"/>
    <w:rsid w:val="003842E1"/>
    <w:rsid w:val="003860C0"/>
    <w:rsid w:val="0039045D"/>
    <w:rsid w:val="00391FA0"/>
    <w:rsid w:val="00392F29"/>
    <w:rsid w:val="00393DF7"/>
    <w:rsid w:val="00397F95"/>
    <w:rsid w:val="003A0B50"/>
    <w:rsid w:val="003A18EE"/>
    <w:rsid w:val="003A1A15"/>
    <w:rsid w:val="003A2A77"/>
    <w:rsid w:val="003A3208"/>
    <w:rsid w:val="003A461C"/>
    <w:rsid w:val="003A76E0"/>
    <w:rsid w:val="003A7C9A"/>
    <w:rsid w:val="003B098F"/>
    <w:rsid w:val="003B16B3"/>
    <w:rsid w:val="003B1A86"/>
    <w:rsid w:val="003B25CE"/>
    <w:rsid w:val="003B4CCF"/>
    <w:rsid w:val="003B4E6A"/>
    <w:rsid w:val="003B6E34"/>
    <w:rsid w:val="003B7017"/>
    <w:rsid w:val="003B7B4B"/>
    <w:rsid w:val="003C056C"/>
    <w:rsid w:val="003C1005"/>
    <w:rsid w:val="003C1E23"/>
    <w:rsid w:val="003C3669"/>
    <w:rsid w:val="003C46C9"/>
    <w:rsid w:val="003C4F3E"/>
    <w:rsid w:val="003C7C05"/>
    <w:rsid w:val="003D1A8D"/>
    <w:rsid w:val="003D2C45"/>
    <w:rsid w:val="003D336E"/>
    <w:rsid w:val="003D4D11"/>
    <w:rsid w:val="003D5CC7"/>
    <w:rsid w:val="003E21BA"/>
    <w:rsid w:val="003E381D"/>
    <w:rsid w:val="003E393C"/>
    <w:rsid w:val="003E48E3"/>
    <w:rsid w:val="003E63BC"/>
    <w:rsid w:val="003F0D97"/>
    <w:rsid w:val="003F12AD"/>
    <w:rsid w:val="003F242F"/>
    <w:rsid w:val="003F2747"/>
    <w:rsid w:val="003F2769"/>
    <w:rsid w:val="003F480E"/>
    <w:rsid w:val="003F61CB"/>
    <w:rsid w:val="003F751E"/>
    <w:rsid w:val="004009EF"/>
    <w:rsid w:val="004013C5"/>
    <w:rsid w:val="00402B07"/>
    <w:rsid w:val="00402ECC"/>
    <w:rsid w:val="00402F61"/>
    <w:rsid w:val="004041BD"/>
    <w:rsid w:val="0040515A"/>
    <w:rsid w:val="00407AEB"/>
    <w:rsid w:val="00410FEE"/>
    <w:rsid w:val="00411E21"/>
    <w:rsid w:val="00412876"/>
    <w:rsid w:val="00412F42"/>
    <w:rsid w:val="0041361B"/>
    <w:rsid w:val="004139A3"/>
    <w:rsid w:val="00414599"/>
    <w:rsid w:val="00414C3D"/>
    <w:rsid w:val="00414D90"/>
    <w:rsid w:val="004155A8"/>
    <w:rsid w:val="00415A1D"/>
    <w:rsid w:val="00420B61"/>
    <w:rsid w:val="0042440F"/>
    <w:rsid w:val="00424B18"/>
    <w:rsid w:val="004255BB"/>
    <w:rsid w:val="00427A66"/>
    <w:rsid w:val="00430083"/>
    <w:rsid w:val="00430B9E"/>
    <w:rsid w:val="0043147A"/>
    <w:rsid w:val="004332DD"/>
    <w:rsid w:val="00433D72"/>
    <w:rsid w:val="004369D3"/>
    <w:rsid w:val="0044022A"/>
    <w:rsid w:val="004403D3"/>
    <w:rsid w:val="00440BB8"/>
    <w:rsid w:val="00440D20"/>
    <w:rsid w:val="0044191B"/>
    <w:rsid w:val="00442056"/>
    <w:rsid w:val="004426F4"/>
    <w:rsid w:val="004428FC"/>
    <w:rsid w:val="00443A69"/>
    <w:rsid w:val="004463FE"/>
    <w:rsid w:val="00446869"/>
    <w:rsid w:val="00450B57"/>
    <w:rsid w:val="00450B7F"/>
    <w:rsid w:val="00452C11"/>
    <w:rsid w:val="00454C00"/>
    <w:rsid w:val="004552F9"/>
    <w:rsid w:val="00460F5B"/>
    <w:rsid w:val="00461A23"/>
    <w:rsid w:val="00462788"/>
    <w:rsid w:val="0046329B"/>
    <w:rsid w:val="004639A5"/>
    <w:rsid w:val="00463D73"/>
    <w:rsid w:val="00464420"/>
    <w:rsid w:val="00464E8E"/>
    <w:rsid w:val="00464EED"/>
    <w:rsid w:val="004650BC"/>
    <w:rsid w:val="004660B1"/>
    <w:rsid w:val="004700EC"/>
    <w:rsid w:val="004713AA"/>
    <w:rsid w:val="00475D39"/>
    <w:rsid w:val="004760EE"/>
    <w:rsid w:val="00476AD4"/>
    <w:rsid w:val="00476B59"/>
    <w:rsid w:val="004801C6"/>
    <w:rsid w:val="00480234"/>
    <w:rsid w:val="00480759"/>
    <w:rsid w:val="0048202E"/>
    <w:rsid w:val="0048232C"/>
    <w:rsid w:val="0048317C"/>
    <w:rsid w:val="00483FF1"/>
    <w:rsid w:val="00484037"/>
    <w:rsid w:val="004860B4"/>
    <w:rsid w:val="004904A7"/>
    <w:rsid w:val="00490AB8"/>
    <w:rsid w:val="00492490"/>
    <w:rsid w:val="00493565"/>
    <w:rsid w:val="00494F53"/>
    <w:rsid w:val="004A1CA8"/>
    <w:rsid w:val="004A1E16"/>
    <w:rsid w:val="004A294F"/>
    <w:rsid w:val="004A2C5A"/>
    <w:rsid w:val="004A3F71"/>
    <w:rsid w:val="004A51ED"/>
    <w:rsid w:val="004A5973"/>
    <w:rsid w:val="004A6154"/>
    <w:rsid w:val="004A679C"/>
    <w:rsid w:val="004A7AD6"/>
    <w:rsid w:val="004B0870"/>
    <w:rsid w:val="004B11E1"/>
    <w:rsid w:val="004B1F8E"/>
    <w:rsid w:val="004B24B8"/>
    <w:rsid w:val="004B25FC"/>
    <w:rsid w:val="004B29EF"/>
    <w:rsid w:val="004B2EEF"/>
    <w:rsid w:val="004B5F47"/>
    <w:rsid w:val="004B60D7"/>
    <w:rsid w:val="004B6B91"/>
    <w:rsid w:val="004C4FA9"/>
    <w:rsid w:val="004C6373"/>
    <w:rsid w:val="004C7907"/>
    <w:rsid w:val="004D04A2"/>
    <w:rsid w:val="004D1B47"/>
    <w:rsid w:val="004D1DBF"/>
    <w:rsid w:val="004D3DD5"/>
    <w:rsid w:val="004D4344"/>
    <w:rsid w:val="004D45E7"/>
    <w:rsid w:val="004D55B8"/>
    <w:rsid w:val="004D6127"/>
    <w:rsid w:val="004E005B"/>
    <w:rsid w:val="004E0135"/>
    <w:rsid w:val="004E3446"/>
    <w:rsid w:val="004E56B9"/>
    <w:rsid w:val="004E6FB2"/>
    <w:rsid w:val="004E7C6A"/>
    <w:rsid w:val="004F0923"/>
    <w:rsid w:val="004F0A9F"/>
    <w:rsid w:val="004F1816"/>
    <w:rsid w:val="004F2302"/>
    <w:rsid w:val="004F2565"/>
    <w:rsid w:val="004F2D79"/>
    <w:rsid w:val="004F32CD"/>
    <w:rsid w:val="004F46A8"/>
    <w:rsid w:val="004F6334"/>
    <w:rsid w:val="004F7DFF"/>
    <w:rsid w:val="005058FF"/>
    <w:rsid w:val="005060E5"/>
    <w:rsid w:val="00506E4E"/>
    <w:rsid w:val="00511527"/>
    <w:rsid w:val="00513ADC"/>
    <w:rsid w:val="0051490C"/>
    <w:rsid w:val="00514C00"/>
    <w:rsid w:val="00515248"/>
    <w:rsid w:val="00516D93"/>
    <w:rsid w:val="00517568"/>
    <w:rsid w:val="00521CB1"/>
    <w:rsid w:val="00522AAF"/>
    <w:rsid w:val="00523AD9"/>
    <w:rsid w:val="00523FF1"/>
    <w:rsid w:val="005310B7"/>
    <w:rsid w:val="00531808"/>
    <w:rsid w:val="00535BAD"/>
    <w:rsid w:val="0053635C"/>
    <w:rsid w:val="005369D2"/>
    <w:rsid w:val="00536CD5"/>
    <w:rsid w:val="00540D01"/>
    <w:rsid w:val="00542777"/>
    <w:rsid w:val="00542F80"/>
    <w:rsid w:val="0054341F"/>
    <w:rsid w:val="00543E03"/>
    <w:rsid w:val="00545818"/>
    <w:rsid w:val="00545E1F"/>
    <w:rsid w:val="00550E23"/>
    <w:rsid w:val="00551104"/>
    <w:rsid w:val="00552934"/>
    <w:rsid w:val="00552F41"/>
    <w:rsid w:val="005539D3"/>
    <w:rsid w:val="00554732"/>
    <w:rsid w:val="00555896"/>
    <w:rsid w:val="00561309"/>
    <w:rsid w:val="00562C58"/>
    <w:rsid w:val="00566BAD"/>
    <w:rsid w:val="00567143"/>
    <w:rsid w:val="00567725"/>
    <w:rsid w:val="0057126D"/>
    <w:rsid w:val="00571773"/>
    <w:rsid w:val="0057342F"/>
    <w:rsid w:val="0057570E"/>
    <w:rsid w:val="00576298"/>
    <w:rsid w:val="0057648B"/>
    <w:rsid w:val="005765ED"/>
    <w:rsid w:val="005769B6"/>
    <w:rsid w:val="0058589F"/>
    <w:rsid w:val="00586273"/>
    <w:rsid w:val="00586A04"/>
    <w:rsid w:val="00587979"/>
    <w:rsid w:val="00590D2D"/>
    <w:rsid w:val="0059196E"/>
    <w:rsid w:val="005933FE"/>
    <w:rsid w:val="0059367A"/>
    <w:rsid w:val="00593CC9"/>
    <w:rsid w:val="00593F18"/>
    <w:rsid w:val="00595805"/>
    <w:rsid w:val="00596785"/>
    <w:rsid w:val="00597B98"/>
    <w:rsid w:val="005A095D"/>
    <w:rsid w:val="005A17CF"/>
    <w:rsid w:val="005A3AA7"/>
    <w:rsid w:val="005A3ACA"/>
    <w:rsid w:val="005A3E4A"/>
    <w:rsid w:val="005A3EE2"/>
    <w:rsid w:val="005A4CE4"/>
    <w:rsid w:val="005A6CBF"/>
    <w:rsid w:val="005A77C2"/>
    <w:rsid w:val="005B0AF8"/>
    <w:rsid w:val="005B0BC2"/>
    <w:rsid w:val="005B1A00"/>
    <w:rsid w:val="005B2EAF"/>
    <w:rsid w:val="005B37B9"/>
    <w:rsid w:val="005B46E3"/>
    <w:rsid w:val="005B5080"/>
    <w:rsid w:val="005B5172"/>
    <w:rsid w:val="005B5D31"/>
    <w:rsid w:val="005B76B5"/>
    <w:rsid w:val="005B7B7C"/>
    <w:rsid w:val="005C0648"/>
    <w:rsid w:val="005C12D7"/>
    <w:rsid w:val="005C179E"/>
    <w:rsid w:val="005C38A5"/>
    <w:rsid w:val="005C6200"/>
    <w:rsid w:val="005C6D84"/>
    <w:rsid w:val="005C6D9E"/>
    <w:rsid w:val="005D4217"/>
    <w:rsid w:val="005D42A8"/>
    <w:rsid w:val="005D5505"/>
    <w:rsid w:val="005D56ED"/>
    <w:rsid w:val="005D59E6"/>
    <w:rsid w:val="005D6852"/>
    <w:rsid w:val="005D79A1"/>
    <w:rsid w:val="005D7A73"/>
    <w:rsid w:val="005D7FFD"/>
    <w:rsid w:val="005E08C6"/>
    <w:rsid w:val="005E26E3"/>
    <w:rsid w:val="005E28DC"/>
    <w:rsid w:val="005E39D5"/>
    <w:rsid w:val="005E40B7"/>
    <w:rsid w:val="005E4C46"/>
    <w:rsid w:val="005E6FAE"/>
    <w:rsid w:val="005E7854"/>
    <w:rsid w:val="005F0C2D"/>
    <w:rsid w:val="005F37CB"/>
    <w:rsid w:val="005F6EF8"/>
    <w:rsid w:val="005F7D2A"/>
    <w:rsid w:val="00600277"/>
    <w:rsid w:val="00600957"/>
    <w:rsid w:val="00601EB0"/>
    <w:rsid w:val="00605FC9"/>
    <w:rsid w:val="00610520"/>
    <w:rsid w:val="00610B7E"/>
    <w:rsid w:val="00610C7C"/>
    <w:rsid w:val="00611881"/>
    <w:rsid w:val="0061191A"/>
    <w:rsid w:val="00611967"/>
    <w:rsid w:val="00616AC3"/>
    <w:rsid w:val="00617860"/>
    <w:rsid w:val="00617BCF"/>
    <w:rsid w:val="00620532"/>
    <w:rsid w:val="006216D5"/>
    <w:rsid w:val="0062171E"/>
    <w:rsid w:val="006217B3"/>
    <w:rsid w:val="0062268D"/>
    <w:rsid w:val="00623128"/>
    <w:rsid w:val="00623C04"/>
    <w:rsid w:val="0062771E"/>
    <w:rsid w:val="006337BC"/>
    <w:rsid w:val="006351B6"/>
    <w:rsid w:val="0063583E"/>
    <w:rsid w:val="00635AC4"/>
    <w:rsid w:val="00637065"/>
    <w:rsid w:val="00641454"/>
    <w:rsid w:val="0064190E"/>
    <w:rsid w:val="00642321"/>
    <w:rsid w:val="00643271"/>
    <w:rsid w:val="006432A2"/>
    <w:rsid w:val="00646214"/>
    <w:rsid w:val="00646DE0"/>
    <w:rsid w:val="00653BDA"/>
    <w:rsid w:val="00654C34"/>
    <w:rsid w:val="00654CEC"/>
    <w:rsid w:val="006550AE"/>
    <w:rsid w:val="006552AD"/>
    <w:rsid w:val="006554E0"/>
    <w:rsid w:val="00656686"/>
    <w:rsid w:val="00656A3B"/>
    <w:rsid w:val="00656E20"/>
    <w:rsid w:val="006570BA"/>
    <w:rsid w:val="00657645"/>
    <w:rsid w:val="00661828"/>
    <w:rsid w:val="00661BF3"/>
    <w:rsid w:val="006622CC"/>
    <w:rsid w:val="0066310A"/>
    <w:rsid w:val="00664DB9"/>
    <w:rsid w:val="00667571"/>
    <w:rsid w:val="00667F7A"/>
    <w:rsid w:val="00671CB7"/>
    <w:rsid w:val="006754A1"/>
    <w:rsid w:val="006813FF"/>
    <w:rsid w:val="00681B6E"/>
    <w:rsid w:val="00681C22"/>
    <w:rsid w:val="00682C21"/>
    <w:rsid w:val="00683683"/>
    <w:rsid w:val="006836AF"/>
    <w:rsid w:val="00684EAD"/>
    <w:rsid w:val="00685AD0"/>
    <w:rsid w:val="00691359"/>
    <w:rsid w:val="00691A2B"/>
    <w:rsid w:val="00692957"/>
    <w:rsid w:val="00692E6C"/>
    <w:rsid w:val="006930A0"/>
    <w:rsid w:val="006935D4"/>
    <w:rsid w:val="00693F0B"/>
    <w:rsid w:val="00695886"/>
    <w:rsid w:val="00696627"/>
    <w:rsid w:val="00697279"/>
    <w:rsid w:val="006A135A"/>
    <w:rsid w:val="006A17B6"/>
    <w:rsid w:val="006A1C0C"/>
    <w:rsid w:val="006A2BE7"/>
    <w:rsid w:val="006A419E"/>
    <w:rsid w:val="006A6348"/>
    <w:rsid w:val="006A675B"/>
    <w:rsid w:val="006A6AF3"/>
    <w:rsid w:val="006B1495"/>
    <w:rsid w:val="006B1BF1"/>
    <w:rsid w:val="006B1F43"/>
    <w:rsid w:val="006B470F"/>
    <w:rsid w:val="006B55B1"/>
    <w:rsid w:val="006B57A7"/>
    <w:rsid w:val="006B57C4"/>
    <w:rsid w:val="006B5841"/>
    <w:rsid w:val="006B61C3"/>
    <w:rsid w:val="006B7A78"/>
    <w:rsid w:val="006B7AC3"/>
    <w:rsid w:val="006C1F05"/>
    <w:rsid w:val="006C224E"/>
    <w:rsid w:val="006C265E"/>
    <w:rsid w:val="006C2DE2"/>
    <w:rsid w:val="006C3301"/>
    <w:rsid w:val="006C389E"/>
    <w:rsid w:val="006C3A91"/>
    <w:rsid w:val="006C3B75"/>
    <w:rsid w:val="006C4820"/>
    <w:rsid w:val="006C4A01"/>
    <w:rsid w:val="006C56C7"/>
    <w:rsid w:val="006C5771"/>
    <w:rsid w:val="006C5861"/>
    <w:rsid w:val="006C7547"/>
    <w:rsid w:val="006D08EB"/>
    <w:rsid w:val="006D0C79"/>
    <w:rsid w:val="006D200D"/>
    <w:rsid w:val="006D23B9"/>
    <w:rsid w:val="006D6B7F"/>
    <w:rsid w:val="006D77EE"/>
    <w:rsid w:val="006E6380"/>
    <w:rsid w:val="006E72E9"/>
    <w:rsid w:val="006F3575"/>
    <w:rsid w:val="006F35CE"/>
    <w:rsid w:val="007006B0"/>
    <w:rsid w:val="00700A00"/>
    <w:rsid w:val="00702553"/>
    <w:rsid w:val="00704916"/>
    <w:rsid w:val="00705403"/>
    <w:rsid w:val="00705465"/>
    <w:rsid w:val="0070559F"/>
    <w:rsid w:val="00706519"/>
    <w:rsid w:val="00710F0A"/>
    <w:rsid w:val="00711C11"/>
    <w:rsid w:val="007123B7"/>
    <w:rsid w:val="0071242C"/>
    <w:rsid w:val="00712921"/>
    <w:rsid w:val="00716F4C"/>
    <w:rsid w:val="007172C1"/>
    <w:rsid w:val="00721916"/>
    <w:rsid w:val="00722266"/>
    <w:rsid w:val="0072245A"/>
    <w:rsid w:val="007228EF"/>
    <w:rsid w:val="00723835"/>
    <w:rsid w:val="00724A40"/>
    <w:rsid w:val="00724BA8"/>
    <w:rsid w:val="007255F8"/>
    <w:rsid w:val="00725D2B"/>
    <w:rsid w:val="00726E5D"/>
    <w:rsid w:val="00733B74"/>
    <w:rsid w:val="00734BE4"/>
    <w:rsid w:val="00735409"/>
    <w:rsid w:val="007364A0"/>
    <w:rsid w:val="00740533"/>
    <w:rsid w:val="00740E62"/>
    <w:rsid w:val="00741A92"/>
    <w:rsid w:val="007420BD"/>
    <w:rsid w:val="007433FB"/>
    <w:rsid w:val="007448B0"/>
    <w:rsid w:val="00744EEB"/>
    <w:rsid w:val="007457B7"/>
    <w:rsid w:val="00746612"/>
    <w:rsid w:val="00747BC8"/>
    <w:rsid w:val="00750388"/>
    <w:rsid w:val="007511E3"/>
    <w:rsid w:val="007513A3"/>
    <w:rsid w:val="00751832"/>
    <w:rsid w:val="00752D21"/>
    <w:rsid w:val="0075379D"/>
    <w:rsid w:val="00754319"/>
    <w:rsid w:val="00756A70"/>
    <w:rsid w:val="00760F23"/>
    <w:rsid w:val="0076113B"/>
    <w:rsid w:val="00764124"/>
    <w:rsid w:val="00765E30"/>
    <w:rsid w:val="00766BD2"/>
    <w:rsid w:val="00770860"/>
    <w:rsid w:val="00772263"/>
    <w:rsid w:val="00774000"/>
    <w:rsid w:val="0077557A"/>
    <w:rsid w:val="007761DD"/>
    <w:rsid w:val="00782A9E"/>
    <w:rsid w:val="00783356"/>
    <w:rsid w:val="007848CE"/>
    <w:rsid w:val="00785797"/>
    <w:rsid w:val="00787F73"/>
    <w:rsid w:val="00790AF0"/>
    <w:rsid w:val="00793333"/>
    <w:rsid w:val="0079371F"/>
    <w:rsid w:val="00793E7C"/>
    <w:rsid w:val="0079551C"/>
    <w:rsid w:val="00796921"/>
    <w:rsid w:val="00796A27"/>
    <w:rsid w:val="007972F7"/>
    <w:rsid w:val="007974BD"/>
    <w:rsid w:val="007A0190"/>
    <w:rsid w:val="007A078C"/>
    <w:rsid w:val="007A08F2"/>
    <w:rsid w:val="007A0BE0"/>
    <w:rsid w:val="007A21B4"/>
    <w:rsid w:val="007A26C8"/>
    <w:rsid w:val="007A3531"/>
    <w:rsid w:val="007A3A37"/>
    <w:rsid w:val="007A3F54"/>
    <w:rsid w:val="007A4E26"/>
    <w:rsid w:val="007A579E"/>
    <w:rsid w:val="007A587D"/>
    <w:rsid w:val="007A6BA2"/>
    <w:rsid w:val="007A7E36"/>
    <w:rsid w:val="007B1430"/>
    <w:rsid w:val="007B18B3"/>
    <w:rsid w:val="007B3887"/>
    <w:rsid w:val="007B54EF"/>
    <w:rsid w:val="007B61FB"/>
    <w:rsid w:val="007B772A"/>
    <w:rsid w:val="007C20E6"/>
    <w:rsid w:val="007C221C"/>
    <w:rsid w:val="007C2774"/>
    <w:rsid w:val="007C295B"/>
    <w:rsid w:val="007C2A83"/>
    <w:rsid w:val="007C2B5D"/>
    <w:rsid w:val="007C3EA8"/>
    <w:rsid w:val="007C41A6"/>
    <w:rsid w:val="007C533A"/>
    <w:rsid w:val="007C6C9B"/>
    <w:rsid w:val="007C6FB5"/>
    <w:rsid w:val="007C7554"/>
    <w:rsid w:val="007D14B8"/>
    <w:rsid w:val="007D34C9"/>
    <w:rsid w:val="007D4E45"/>
    <w:rsid w:val="007D794A"/>
    <w:rsid w:val="007E224F"/>
    <w:rsid w:val="007E2D38"/>
    <w:rsid w:val="007E2DD6"/>
    <w:rsid w:val="007E3A8F"/>
    <w:rsid w:val="007E3F30"/>
    <w:rsid w:val="007E5450"/>
    <w:rsid w:val="007E78B7"/>
    <w:rsid w:val="007F08D3"/>
    <w:rsid w:val="007F2009"/>
    <w:rsid w:val="007F393D"/>
    <w:rsid w:val="007F4688"/>
    <w:rsid w:val="007F5B4B"/>
    <w:rsid w:val="007F5EBB"/>
    <w:rsid w:val="007F6D72"/>
    <w:rsid w:val="007F6EE5"/>
    <w:rsid w:val="007F7AAF"/>
    <w:rsid w:val="007F7FE4"/>
    <w:rsid w:val="0080157A"/>
    <w:rsid w:val="008017B5"/>
    <w:rsid w:val="00802C44"/>
    <w:rsid w:val="00804734"/>
    <w:rsid w:val="0080527C"/>
    <w:rsid w:val="00805B81"/>
    <w:rsid w:val="00810BFB"/>
    <w:rsid w:val="00811317"/>
    <w:rsid w:val="00811CA5"/>
    <w:rsid w:val="00811D9C"/>
    <w:rsid w:val="008123A6"/>
    <w:rsid w:val="0081426D"/>
    <w:rsid w:val="00817B8F"/>
    <w:rsid w:val="00820074"/>
    <w:rsid w:val="00821956"/>
    <w:rsid w:val="00822A54"/>
    <w:rsid w:val="0082415C"/>
    <w:rsid w:val="008241C5"/>
    <w:rsid w:val="00826477"/>
    <w:rsid w:val="00826575"/>
    <w:rsid w:val="00826F65"/>
    <w:rsid w:val="008317FE"/>
    <w:rsid w:val="0083512E"/>
    <w:rsid w:val="00835BF2"/>
    <w:rsid w:val="00837784"/>
    <w:rsid w:val="00842C90"/>
    <w:rsid w:val="00842EE7"/>
    <w:rsid w:val="00843503"/>
    <w:rsid w:val="00843A74"/>
    <w:rsid w:val="00847332"/>
    <w:rsid w:val="00850181"/>
    <w:rsid w:val="00851301"/>
    <w:rsid w:val="00851622"/>
    <w:rsid w:val="00853264"/>
    <w:rsid w:val="0085390C"/>
    <w:rsid w:val="00853A21"/>
    <w:rsid w:val="00853FA8"/>
    <w:rsid w:val="00855FF4"/>
    <w:rsid w:val="00860140"/>
    <w:rsid w:val="0086295F"/>
    <w:rsid w:val="00863E25"/>
    <w:rsid w:val="008651ED"/>
    <w:rsid w:val="00865DBC"/>
    <w:rsid w:val="00866613"/>
    <w:rsid w:val="008701E9"/>
    <w:rsid w:val="008710C2"/>
    <w:rsid w:val="00872D2B"/>
    <w:rsid w:val="0087412F"/>
    <w:rsid w:val="008752F4"/>
    <w:rsid w:val="00876899"/>
    <w:rsid w:val="00876E64"/>
    <w:rsid w:val="00876E80"/>
    <w:rsid w:val="008823B0"/>
    <w:rsid w:val="00882949"/>
    <w:rsid w:val="00882D95"/>
    <w:rsid w:val="008841D7"/>
    <w:rsid w:val="00885CA3"/>
    <w:rsid w:val="00886DCB"/>
    <w:rsid w:val="00887E19"/>
    <w:rsid w:val="0089032A"/>
    <w:rsid w:val="00894920"/>
    <w:rsid w:val="008958B6"/>
    <w:rsid w:val="00896041"/>
    <w:rsid w:val="0089619E"/>
    <w:rsid w:val="00897720"/>
    <w:rsid w:val="00897F78"/>
    <w:rsid w:val="008A00A6"/>
    <w:rsid w:val="008A00D2"/>
    <w:rsid w:val="008A0E37"/>
    <w:rsid w:val="008A23BF"/>
    <w:rsid w:val="008A34B1"/>
    <w:rsid w:val="008A37D9"/>
    <w:rsid w:val="008A3F28"/>
    <w:rsid w:val="008A5ACA"/>
    <w:rsid w:val="008B0500"/>
    <w:rsid w:val="008B1418"/>
    <w:rsid w:val="008B157A"/>
    <w:rsid w:val="008B214A"/>
    <w:rsid w:val="008C0899"/>
    <w:rsid w:val="008C1A4C"/>
    <w:rsid w:val="008C22C1"/>
    <w:rsid w:val="008C2868"/>
    <w:rsid w:val="008C2DFD"/>
    <w:rsid w:val="008C2E49"/>
    <w:rsid w:val="008C75E3"/>
    <w:rsid w:val="008D03C0"/>
    <w:rsid w:val="008D064D"/>
    <w:rsid w:val="008D0A42"/>
    <w:rsid w:val="008D184F"/>
    <w:rsid w:val="008D3F13"/>
    <w:rsid w:val="008D45B1"/>
    <w:rsid w:val="008D476E"/>
    <w:rsid w:val="008D4D2E"/>
    <w:rsid w:val="008D50A0"/>
    <w:rsid w:val="008D65BD"/>
    <w:rsid w:val="008D65E9"/>
    <w:rsid w:val="008E1135"/>
    <w:rsid w:val="008E178C"/>
    <w:rsid w:val="008E3923"/>
    <w:rsid w:val="008E5B35"/>
    <w:rsid w:val="008E6D64"/>
    <w:rsid w:val="008F108B"/>
    <w:rsid w:val="008F1C89"/>
    <w:rsid w:val="008F325C"/>
    <w:rsid w:val="008F5CC3"/>
    <w:rsid w:val="008F6B87"/>
    <w:rsid w:val="008F7593"/>
    <w:rsid w:val="008F7675"/>
    <w:rsid w:val="008F77BE"/>
    <w:rsid w:val="009001A4"/>
    <w:rsid w:val="00901C37"/>
    <w:rsid w:val="00901EEA"/>
    <w:rsid w:val="00904CD1"/>
    <w:rsid w:val="00905374"/>
    <w:rsid w:val="00907747"/>
    <w:rsid w:val="00910020"/>
    <w:rsid w:val="009113AF"/>
    <w:rsid w:val="00913E56"/>
    <w:rsid w:val="009204CD"/>
    <w:rsid w:val="009213D5"/>
    <w:rsid w:val="00921458"/>
    <w:rsid w:val="00921870"/>
    <w:rsid w:val="0092289F"/>
    <w:rsid w:val="0092396C"/>
    <w:rsid w:val="009245E3"/>
    <w:rsid w:val="00925039"/>
    <w:rsid w:val="00925968"/>
    <w:rsid w:val="00926751"/>
    <w:rsid w:val="0092684C"/>
    <w:rsid w:val="00926D46"/>
    <w:rsid w:val="00926E65"/>
    <w:rsid w:val="009275D2"/>
    <w:rsid w:val="0093014A"/>
    <w:rsid w:val="00931D31"/>
    <w:rsid w:val="009353EC"/>
    <w:rsid w:val="00936CC7"/>
    <w:rsid w:val="00937205"/>
    <w:rsid w:val="009418D9"/>
    <w:rsid w:val="009424DB"/>
    <w:rsid w:val="009437C2"/>
    <w:rsid w:val="00943A22"/>
    <w:rsid w:val="00943FA4"/>
    <w:rsid w:val="0094446A"/>
    <w:rsid w:val="00945084"/>
    <w:rsid w:val="00946E32"/>
    <w:rsid w:val="0094757E"/>
    <w:rsid w:val="009518A0"/>
    <w:rsid w:val="00952642"/>
    <w:rsid w:val="0095412B"/>
    <w:rsid w:val="0095651D"/>
    <w:rsid w:val="0096146D"/>
    <w:rsid w:val="00962703"/>
    <w:rsid w:val="00962C1B"/>
    <w:rsid w:val="00963A99"/>
    <w:rsid w:val="00965A54"/>
    <w:rsid w:val="00966109"/>
    <w:rsid w:val="00966DEF"/>
    <w:rsid w:val="00967B96"/>
    <w:rsid w:val="00970E86"/>
    <w:rsid w:val="00972FB1"/>
    <w:rsid w:val="00973BED"/>
    <w:rsid w:val="00974D11"/>
    <w:rsid w:val="0097675C"/>
    <w:rsid w:val="0097726B"/>
    <w:rsid w:val="009811F1"/>
    <w:rsid w:val="00981778"/>
    <w:rsid w:val="00983358"/>
    <w:rsid w:val="00985611"/>
    <w:rsid w:val="00985741"/>
    <w:rsid w:val="00990EA0"/>
    <w:rsid w:val="00991D5C"/>
    <w:rsid w:val="00994003"/>
    <w:rsid w:val="0099432F"/>
    <w:rsid w:val="00994BDD"/>
    <w:rsid w:val="00994D12"/>
    <w:rsid w:val="00995CA0"/>
    <w:rsid w:val="009963D1"/>
    <w:rsid w:val="00997EAB"/>
    <w:rsid w:val="009A2D58"/>
    <w:rsid w:val="009A2EBD"/>
    <w:rsid w:val="009A3A7A"/>
    <w:rsid w:val="009A4D3E"/>
    <w:rsid w:val="009A583B"/>
    <w:rsid w:val="009A64F9"/>
    <w:rsid w:val="009A69FC"/>
    <w:rsid w:val="009A7F9C"/>
    <w:rsid w:val="009B01F8"/>
    <w:rsid w:val="009B31E8"/>
    <w:rsid w:val="009B3A88"/>
    <w:rsid w:val="009B3F38"/>
    <w:rsid w:val="009B5554"/>
    <w:rsid w:val="009B59D6"/>
    <w:rsid w:val="009B5AF4"/>
    <w:rsid w:val="009B7311"/>
    <w:rsid w:val="009C0889"/>
    <w:rsid w:val="009C1265"/>
    <w:rsid w:val="009C1438"/>
    <w:rsid w:val="009C16BA"/>
    <w:rsid w:val="009C6738"/>
    <w:rsid w:val="009C6954"/>
    <w:rsid w:val="009C6C74"/>
    <w:rsid w:val="009D053E"/>
    <w:rsid w:val="009D157E"/>
    <w:rsid w:val="009D30A4"/>
    <w:rsid w:val="009D4668"/>
    <w:rsid w:val="009D4A67"/>
    <w:rsid w:val="009E1CFC"/>
    <w:rsid w:val="009E28C9"/>
    <w:rsid w:val="009E5188"/>
    <w:rsid w:val="009E765F"/>
    <w:rsid w:val="009F2345"/>
    <w:rsid w:val="009F4728"/>
    <w:rsid w:val="009F4DDD"/>
    <w:rsid w:val="009F5E99"/>
    <w:rsid w:val="009F6B8E"/>
    <w:rsid w:val="009F7F0C"/>
    <w:rsid w:val="00A01845"/>
    <w:rsid w:val="00A02833"/>
    <w:rsid w:val="00A02FCC"/>
    <w:rsid w:val="00A05461"/>
    <w:rsid w:val="00A05913"/>
    <w:rsid w:val="00A05B5F"/>
    <w:rsid w:val="00A077CE"/>
    <w:rsid w:val="00A0797D"/>
    <w:rsid w:val="00A11268"/>
    <w:rsid w:val="00A12D5C"/>
    <w:rsid w:val="00A12DA1"/>
    <w:rsid w:val="00A13E61"/>
    <w:rsid w:val="00A15F68"/>
    <w:rsid w:val="00A2154E"/>
    <w:rsid w:val="00A21B92"/>
    <w:rsid w:val="00A23F73"/>
    <w:rsid w:val="00A26D65"/>
    <w:rsid w:val="00A27A54"/>
    <w:rsid w:val="00A32816"/>
    <w:rsid w:val="00A32B0C"/>
    <w:rsid w:val="00A32E99"/>
    <w:rsid w:val="00A33462"/>
    <w:rsid w:val="00A33E85"/>
    <w:rsid w:val="00A34AA4"/>
    <w:rsid w:val="00A3594C"/>
    <w:rsid w:val="00A3673C"/>
    <w:rsid w:val="00A36C86"/>
    <w:rsid w:val="00A370E8"/>
    <w:rsid w:val="00A3799B"/>
    <w:rsid w:val="00A37A58"/>
    <w:rsid w:val="00A40962"/>
    <w:rsid w:val="00A40BED"/>
    <w:rsid w:val="00A41442"/>
    <w:rsid w:val="00A43568"/>
    <w:rsid w:val="00A43AD2"/>
    <w:rsid w:val="00A465F7"/>
    <w:rsid w:val="00A466D6"/>
    <w:rsid w:val="00A46832"/>
    <w:rsid w:val="00A46B09"/>
    <w:rsid w:val="00A50143"/>
    <w:rsid w:val="00A54AE3"/>
    <w:rsid w:val="00A56893"/>
    <w:rsid w:val="00A56F59"/>
    <w:rsid w:val="00A5739D"/>
    <w:rsid w:val="00A57FBC"/>
    <w:rsid w:val="00A60404"/>
    <w:rsid w:val="00A616B1"/>
    <w:rsid w:val="00A6183C"/>
    <w:rsid w:val="00A62294"/>
    <w:rsid w:val="00A636AC"/>
    <w:rsid w:val="00A63CEC"/>
    <w:rsid w:val="00A6400A"/>
    <w:rsid w:val="00A664EF"/>
    <w:rsid w:val="00A66A50"/>
    <w:rsid w:val="00A66EF5"/>
    <w:rsid w:val="00A67D49"/>
    <w:rsid w:val="00A710AA"/>
    <w:rsid w:val="00A71F76"/>
    <w:rsid w:val="00A73C1C"/>
    <w:rsid w:val="00A74B67"/>
    <w:rsid w:val="00A75535"/>
    <w:rsid w:val="00A77A8C"/>
    <w:rsid w:val="00A77E27"/>
    <w:rsid w:val="00A82CAE"/>
    <w:rsid w:val="00A83191"/>
    <w:rsid w:val="00A85216"/>
    <w:rsid w:val="00A858E0"/>
    <w:rsid w:val="00A85E93"/>
    <w:rsid w:val="00A86723"/>
    <w:rsid w:val="00A874AF"/>
    <w:rsid w:val="00A87D85"/>
    <w:rsid w:val="00A87FC0"/>
    <w:rsid w:val="00A90062"/>
    <w:rsid w:val="00A90A6E"/>
    <w:rsid w:val="00A91A37"/>
    <w:rsid w:val="00A92382"/>
    <w:rsid w:val="00A925F9"/>
    <w:rsid w:val="00A92DD5"/>
    <w:rsid w:val="00A92EA4"/>
    <w:rsid w:val="00A93A0D"/>
    <w:rsid w:val="00A94306"/>
    <w:rsid w:val="00A9489E"/>
    <w:rsid w:val="00A95FF8"/>
    <w:rsid w:val="00AA0813"/>
    <w:rsid w:val="00AA1C17"/>
    <w:rsid w:val="00AA2E80"/>
    <w:rsid w:val="00AA5329"/>
    <w:rsid w:val="00AA5C01"/>
    <w:rsid w:val="00AB0648"/>
    <w:rsid w:val="00AB0C5F"/>
    <w:rsid w:val="00AB1860"/>
    <w:rsid w:val="00AB2D02"/>
    <w:rsid w:val="00AB5AEC"/>
    <w:rsid w:val="00AC1D55"/>
    <w:rsid w:val="00AC1DC5"/>
    <w:rsid w:val="00AC2A4B"/>
    <w:rsid w:val="00AC3568"/>
    <w:rsid w:val="00AC3648"/>
    <w:rsid w:val="00AC3C37"/>
    <w:rsid w:val="00AC420B"/>
    <w:rsid w:val="00AC432A"/>
    <w:rsid w:val="00AC6533"/>
    <w:rsid w:val="00AC6901"/>
    <w:rsid w:val="00AD0143"/>
    <w:rsid w:val="00AD1C42"/>
    <w:rsid w:val="00AD1CA8"/>
    <w:rsid w:val="00AD20AE"/>
    <w:rsid w:val="00AD2BF2"/>
    <w:rsid w:val="00AD4CBC"/>
    <w:rsid w:val="00AD4CD8"/>
    <w:rsid w:val="00AD5AF1"/>
    <w:rsid w:val="00AD7ED7"/>
    <w:rsid w:val="00AE4FA1"/>
    <w:rsid w:val="00AE5A74"/>
    <w:rsid w:val="00AE6052"/>
    <w:rsid w:val="00AE76A5"/>
    <w:rsid w:val="00AF0EAF"/>
    <w:rsid w:val="00AF1657"/>
    <w:rsid w:val="00AF1FBB"/>
    <w:rsid w:val="00AF3478"/>
    <w:rsid w:val="00AF4F49"/>
    <w:rsid w:val="00AF6283"/>
    <w:rsid w:val="00AF7A3D"/>
    <w:rsid w:val="00B002C3"/>
    <w:rsid w:val="00B017B8"/>
    <w:rsid w:val="00B01E99"/>
    <w:rsid w:val="00B02999"/>
    <w:rsid w:val="00B0358F"/>
    <w:rsid w:val="00B03D45"/>
    <w:rsid w:val="00B05C27"/>
    <w:rsid w:val="00B070D9"/>
    <w:rsid w:val="00B070FA"/>
    <w:rsid w:val="00B10022"/>
    <w:rsid w:val="00B1125C"/>
    <w:rsid w:val="00B1175D"/>
    <w:rsid w:val="00B12DFA"/>
    <w:rsid w:val="00B1402C"/>
    <w:rsid w:val="00B15040"/>
    <w:rsid w:val="00B151FC"/>
    <w:rsid w:val="00B15B04"/>
    <w:rsid w:val="00B165AB"/>
    <w:rsid w:val="00B16C30"/>
    <w:rsid w:val="00B17F79"/>
    <w:rsid w:val="00B2007D"/>
    <w:rsid w:val="00B22ECD"/>
    <w:rsid w:val="00B24499"/>
    <w:rsid w:val="00B2501C"/>
    <w:rsid w:val="00B25BED"/>
    <w:rsid w:val="00B25DE0"/>
    <w:rsid w:val="00B26659"/>
    <w:rsid w:val="00B2797A"/>
    <w:rsid w:val="00B27BF6"/>
    <w:rsid w:val="00B3047E"/>
    <w:rsid w:val="00B312B3"/>
    <w:rsid w:val="00B31757"/>
    <w:rsid w:val="00B31D3D"/>
    <w:rsid w:val="00B36DAB"/>
    <w:rsid w:val="00B3736B"/>
    <w:rsid w:val="00B374DA"/>
    <w:rsid w:val="00B40B1B"/>
    <w:rsid w:val="00B40C11"/>
    <w:rsid w:val="00B40D2E"/>
    <w:rsid w:val="00B41D30"/>
    <w:rsid w:val="00B428DE"/>
    <w:rsid w:val="00B439B8"/>
    <w:rsid w:val="00B4541F"/>
    <w:rsid w:val="00B4552E"/>
    <w:rsid w:val="00B471DF"/>
    <w:rsid w:val="00B5181E"/>
    <w:rsid w:val="00B51A90"/>
    <w:rsid w:val="00B55FFB"/>
    <w:rsid w:val="00B64060"/>
    <w:rsid w:val="00B6429E"/>
    <w:rsid w:val="00B648EC"/>
    <w:rsid w:val="00B65B16"/>
    <w:rsid w:val="00B65E3B"/>
    <w:rsid w:val="00B7065C"/>
    <w:rsid w:val="00B70881"/>
    <w:rsid w:val="00B72776"/>
    <w:rsid w:val="00B72834"/>
    <w:rsid w:val="00B7316D"/>
    <w:rsid w:val="00B75B29"/>
    <w:rsid w:val="00B76E0A"/>
    <w:rsid w:val="00B76FE4"/>
    <w:rsid w:val="00B812D1"/>
    <w:rsid w:val="00B823BE"/>
    <w:rsid w:val="00B83323"/>
    <w:rsid w:val="00B85DA4"/>
    <w:rsid w:val="00B8776A"/>
    <w:rsid w:val="00B91D1A"/>
    <w:rsid w:val="00B924E9"/>
    <w:rsid w:val="00B92D63"/>
    <w:rsid w:val="00B93EED"/>
    <w:rsid w:val="00B944F5"/>
    <w:rsid w:val="00B95D98"/>
    <w:rsid w:val="00B961E2"/>
    <w:rsid w:val="00BA0396"/>
    <w:rsid w:val="00BA13C6"/>
    <w:rsid w:val="00BA1F5E"/>
    <w:rsid w:val="00BA2319"/>
    <w:rsid w:val="00BA2BF1"/>
    <w:rsid w:val="00BA2E40"/>
    <w:rsid w:val="00BA3770"/>
    <w:rsid w:val="00BA3BF1"/>
    <w:rsid w:val="00BA4378"/>
    <w:rsid w:val="00BA62D6"/>
    <w:rsid w:val="00BA79A5"/>
    <w:rsid w:val="00BB105D"/>
    <w:rsid w:val="00BB1A36"/>
    <w:rsid w:val="00BB1BD6"/>
    <w:rsid w:val="00BB1BFD"/>
    <w:rsid w:val="00BB24FE"/>
    <w:rsid w:val="00BB3EA2"/>
    <w:rsid w:val="00BB416B"/>
    <w:rsid w:val="00BB5008"/>
    <w:rsid w:val="00BB53DF"/>
    <w:rsid w:val="00BC042D"/>
    <w:rsid w:val="00BC0F79"/>
    <w:rsid w:val="00BC1278"/>
    <w:rsid w:val="00BC2F93"/>
    <w:rsid w:val="00BC35B9"/>
    <w:rsid w:val="00BC46D0"/>
    <w:rsid w:val="00BC549D"/>
    <w:rsid w:val="00BC605A"/>
    <w:rsid w:val="00BC71AE"/>
    <w:rsid w:val="00BC7215"/>
    <w:rsid w:val="00BD1154"/>
    <w:rsid w:val="00BD386A"/>
    <w:rsid w:val="00BD3DDA"/>
    <w:rsid w:val="00BD5D55"/>
    <w:rsid w:val="00BD6241"/>
    <w:rsid w:val="00BD7ECA"/>
    <w:rsid w:val="00BE0706"/>
    <w:rsid w:val="00BE194E"/>
    <w:rsid w:val="00BE307A"/>
    <w:rsid w:val="00BE5CAC"/>
    <w:rsid w:val="00BE7346"/>
    <w:rsid w:val="00BF10F3"/>
    <w:rsid w:val="00BF217F"/>
    <w:rsid w:val="00BF25B5"/>
    <w:rsid w:val="00BF5330"/>
    <w:rsid w:val="00C00121"/>
    <w:rsid w:val="00C006BA"/>
    <w:rsid w:val="00C015BA"/>
    <w:rsid w:val="00C017E2"/>
    <w:rsid w:val="00C01863"/>
    <w:rsid w:val="00C01AEE"/>
    <w:rsid w:val="00C01CF6"/>
    <w:rsid w:val="00C0271A"/>
    <w:rsid w:val="00C028A7"/>
    <w:rsid w:val="00C04283"/>
    <w:rsid w:val="00C04CD4"/>
    <w:rsid w:val="00C04E74"/>
    <w:rsid w:val="00C05274"/>
    <w:rsid w:val="00C05797"/>
    <w:rsid w:val="00C075FD"/>
    <w:rsid w:val="00C07971"/>
    <w:rsid w:val="00C11FD7"/>
    <w:rsid w:val="00C126ED"/>
    <w:rsid w:val="00C129F7"/>
    <w:rsid w:val="00C16D39"/>
    <w:rsid w:val="00C21CEB"/>
    <w:rsid w:val="00C22A19"/>
    <w:rsid w:val="00C24C35"/>
    <w:rsid w:val="00C258C0"/>
    <w:rsid w:val="00C260E7"/>
    <w:rsid w:val="00C268E9"/>
    <w:rsid w:val="00C26FEB"/>
    <w:rsid w:val="00C31D76"/>
    <w:rsid w:val="00C33A34"/>
    <w:rsid w:val="00C35A7F"/>
    <w:rsid w:val="00C363D0"/>
    <w:rsid w:val="00C3672F"/>
    <w:rsid w:val="00C37836"/>
    <w:rsid w:val="00C410EF"/>
    <w:rsid w:val="00C41FFC"/>
    <w:rsid w:val="00C430DB"/>
    <w:rsid w:val="00C43EA6"/>
    <w:rsid w:val="00C44297"/>
    <w:rsid w:val="00C457F1"/>
    <w:rsid w:val="00C51493"/>
    <w:rsid w:val="00C52B73"/>
    <w:rsid w:val="00C55893"/>
    <w:rsid w:val="00C56AEA"/>
    <w:rsid w:val="00C579BC"/>
    <w:rsid w:val="00C60DAF"/>
    <w:rsid w:val="00C6195A"/>
    <w:rsid w:val="00C62793"/>
    <w:rsid w:val="00C62A71"/>
    <w:rsid w:val="00C62C88"/>
    <w:rsid w:val="00C65102"/>
    <w:rsid w:val="00C65105"/>
    <w:rsid w:val="00C65358"/>
    <w:rsid w:val="00C663ED"/>
    <w:rsid w:val="00C67424"/>
    <w:rsid w:val="00C7066E"/>
    <w:rsid w:val="00C71105"/>
    <w:rsid w:val="00C71948"/>
    <w:rsid w:val="00C7301D"/>
    <w:rsid w:val="00C74587"/>
    <w:rsid w:val="00C750F4"/>
    <w:rsid w:val="00C75C50"/>
    <w:rsid w:val="00C76F55"/>
    <w:rsid w:val="00C77114"/>
    <w:rsid w:val="00C8072D"/>
    <w:rsid w:val="00C82953"/>
    <w:rsid w:val="00C82ED5"/>
    <w:rsid w:val="00C844EF"/>
    <w:rsid w:val="00C85C3E"/>
    <w:rsid w:val="00C8602D"/>
    <w:rsid w:val="00C8616F"/>
    <w:rsid w:val="00C861D0"/>
    <w:rsid w:val="00C87688"/>
    <w:rsid w:val="00C92369"/>
    <w:rsid w:val="00C92DB5"/>
    <w:rsid w:val="00C93B35"/>
    <w:rsid w:val="00C94D10"/>
    <w:rsid w:val="00C95DA7"/>
    <w:rsid w:val="00CA1856"/>
    <w:rsid w:val="00CA1AEE"/>
    <w:rsid w:val="00CA3953"/>
    <w:rsid w:val="00CA612A"/>
    <w:rsid w:val="00CB0F3C"/>
    <w:rsid w:val="00CB2479"/>
    <w:rsid w:val="00CB295D"/>
    <w:rsid w:val="00CB2C31"/>
    <w:rsid w:val="00CB325C"/>
    <w:rsid w:val="00CB371E"/>
    <w:rsid w:val="00CB40F4"/>
    <w:rsid w:val="00CB59BC"/>
    <w:rsid w:val="00CB6B33"/>
    <w:rsid w:val="00CC2B5D"/>
    <w:rsid w:val="00CC2DC1"/>
    <w:rsid w:val="00CC38A4"/>
    <w:rsid w:val="00CC6E34"/>
    <w:rsid w:val="00CC70BE"/>
    <w:rsid w:val="00CD2789"/>
    <w:rsid w:val="00CD2815"/>
    <w:rsid w:val="00CD3CB8"/>
    <w:rsid w:val="00CD460C"/>
    <w:rsid w:val="00CE1B47"/>
    <w:rsid w:val="00CE2414"/>
    <w:rsid w:val="00CE3440"/>
    <w:rsid w:val="00CE3F21"/>
    <w:rsid w:val="00CE4350"/>
    <w:rsid w:val="00CE4858"/>
    <w:rsid w:val="00CE48A4"/>
    <w:rsid w:val="00CE5278"/>
    <w:rsid w:val="00CE5865"/>
    <w:rsid w:val="00CE5A95"/>
    <w:rsid w:val="00CE647A"/>
    <w:rsid w:val="00CE69C6"/>
    <w:rsid w:val="00CF0F5D"/>
    <w:rsid w:val="00CF1903"/>
    <w:rsid w:val="00CF24D1"/>
    <w:rsid w:val="00CF3424"/>
    <w:rsid w:val="00CF376C"/>
    <w:rsid w:val="00CF4A7B"/>
    <w:rsid w:val="00CF5213"/>
    <w:rsid w:val="00CF591A"/>
    <w:rsid w:val="00CF5EE9"/>
    <w:rsid w:val="00CF7CCA"/>
    <w:rsid w:val="00D004B7"/>
    <w:rsid w:val="00D03704"/>
    <w:rsid w:val="00D04C0E"/>
    <w:rsid w:val="00D05E3F"/>
    <w:rsid w:val="00D07725"/>
    <w:rsid w:val="00D07C01"/>
    <w:rsid w:val="00D1077B"/>
    <w:rsid w:val="00D12F42"/>
    <w:rsid w:val="00D12FD3"/>
    <w:rsid w:val="00D14E96"/>
    <w:rsid w:val="00D15A6B"/>
    <w:rsid w:val="00D16CB6"/>
    <w:rsid w:val="00D173A4"/>
    <w:rsid w:val="00D2183D"/>
    <w:rsid w:val="00D22638"/>
    <w:rsid w:val="00D22B4A"/>
    <w:rsid w:val="00D22C48"/>
    <w:rsid w:val="00D23F44"/>
    <w:rsid w:val="00D24C33"/>
    <w:rsid w:val="00D26184"/>
    <w:rsid w:val="00D30079"/>
    <w:rsid w:val="00D37818"/>
    <w:rsid w:val="00D40859"/>
    <w:rsid w:val="00D413B6"/>
    <w:rsid w:val="00D41EF6"/>
    <w:rsid w:val="00D4255C"/>
    <w:rsid w:val="00D428E6"/>
    <w:rsid w:val="00D45B06"/>
    <w:rsid w:val="00D46BFF"/>
    <w:rsid w:val="00D47F61"/>
    <w:rsid w:val="00D51314"/>
    <w:rsid w:val="00D5270F"/>
    <w:rsid w:val="00D5394B"/>
    <w:rsid w:val="00D551D0"/>
    <w:rsid w:val="00D57E80"/>
    <w:rsid w:val="00D57F4F"/>
    <w:rsid w:val="00D60FF7"/>
    <w:rsid w:val="00D610D6"/>
    <w:rsid w:val="00D61B40"/>
    <w:rsid w:val="00D61D92"/>
    <w:rsid w:val="00D65361"/>
    <w:rsid w:val="00D67701"/>
    <w:rsid w:val="00D67A14"/>
    <w:rsid w:val="00D7106A"/>
    <w:rsid w:val="00D7404C"/>
    <w:rsid w:val="00D75AAE"/>
    <w:rsid w:val="00D76E02"/>
    <w:rsid w:val="00D80A72"/>
    <w:rsid w:val="00D82517"/>
    <w:rsid w:val="00D82A80"/>
    <w:rsid w:val="00D83974"/>
    <w:rsid w:val="00D83B47"/>
    <w:rsid w:val="00D856BD"/>
    <w:rsid w:val="00D85A96"/>
    <w:rsid w:val="00D931A9"/>
    <w:rsid w:val="00D96121"/>
    <w:rsid w:val="00D963DD"/>
    <w:rsid w:val="00D966CF"/>
    <w:rsid w:val="00D97721"/>
    <w:rsid w:val="00DA0765"/>
    <w:rsid w:val="00DA1058"/>
    <w:rsid w:val="00DA16E5"/>
    <w:rsid w:val="00DA18D2"/>
    <w:rsid w:val="00DA1ECA"/>
    <w:rsid w:val="00DA2C8E"/>
    <w:rsid w:val="00DA2F0D"/>
    <w:rsid w:val="00DA7DE8"/>
    <w:rsid w:val="00DB16A9"/>
    <w:rsid w:val="00DB19BE"/>
    <w:rsid w:val="00DB2FAA"/>
    <w:rsid w:val="00DB3084"/>
    <w:rsid w:val="00DB3991"/>
    <w:rsid w:val="00DB4835"/>
    <w:rsid w:val="00DC0FC2"/>
    <w:rsid w:val="00DC570A"/>
    <w:rsid w:val="00DD01F5"/>
    <w:rsid w:val="00DD121A"/>
    <w:rsid w:val="00DD210F"/>
    <w:rsid w:val="00DD3358"/>
    <w:rsid w:val="00DD34D7"/>
    <w:rsid w:val="00DD5B75"/>
    <w:rsid w:val="00DD6648"/>
    <w:rsid w:val="00DD740D"/>
    <w:rsid w:val="00DE1C3F"/>
    <w:rsid w:val="00DE1F77"/>
    <w:rsid w:val="00DE32CC"/>
    <w:rsid w:val="00DE3E48"/>
    <w:rsid w:val="00DE50B2"/>
    <w:rsid w:val="00DE566A"/>
    <w:rsid w:val="00DE639C"/>
    <w:rsid w:val="00DE77B8"/>
    <w:rsid w:val="00DF053A"/>
    <w:rsid w:val="00DF3FD0"/>
    <w:rsid w:val="00DF4A4C"/>
    <w:rsid w:val="00DF4CBF"/>
    <w:rsid w:val="00DF5222"/>
    <w:rsid w:val="00DF5E82"/>
    <w:rsid w:val="00DF65E6"/>
    <w:rsid w:val="00DF69D6"/>
    <w:rsid w:val="00E00078"/>
    <w:rsid w:val="00E01B76"/>
    <w:rsid w:val="00E0293C"/>
    <w:rsid w:val="00E02A4F"/>
    <w:rsid w:val="00E036EF"/>
    <w:rsid w:val="00E041BE"/>
    <w:rsid w:val="00E05902"/>
    <w:rsid w:val="00E0678D"/>
    <w:rsid w:val="00E0738A"/>
    <w:rsid w:val="00E10011"/>
    <w:rsid w:val="00E12970"/>
    <w:rsid w:val="00E12C36"/>
    <w:rsid w:val="00E12F76"/>
    <w:rsid w:val="00E15AE5"/>
    <w:rsid w:val="00E16543"/>
    <w:rsid w:val="00E16AB6"/>
    <w:rsid w:val="00E16FA5"/>
    <w:rsid w:val="00E20440"/>
    <w:rsid w:val="00E21A45"/>
    <w:rsid w:val="00E21EF7"/>
    <w:rsid w:val="00E22249"/>
    <w:rsid w:val="00E23ED8"/>
    <w:rsid w:val="00E245CA"/>
    <w:rsid w:val="00E24DC3"/>
    <w:rsid w:val="00E24E94"/>
    <w:rsid w:val="00E315FB"/>
    <w:rsid w:val="00E335FF"/>
    <w:rsid w:val="00E339E4"/>
    <w:rsid w:val="00E33C51"/>
    <w:rsid w:val="00E344A0"/>
    <w:rsid w:val="00E34BB5"/>
    <w:rsid w:val="00E35E3F"/>
    <w:rsid w:val="00E367CA"/>
    <w:rsid w:val="00E36EE5"/>
    <w:rsid w:val="00E3789D"/>
    <w:rsid w:val="00E40786"/>
    <w:rsid w:val="00E408C0"/>
    <w:rsid w:val="00E435CC"/>
    <w:rsid w:val="00E43FA5"/>
    <w:rsid w:val="00E46F52"/>
    <w:rsid w:val="00E50ADE"/>
    <w:rsid w:val="00E51EC8"/>
    <w:rsid w:val="00E52E32"/>
    <w:rsid w:val="00E530BE"/>
    <w:rsid w:val="00E53122"/>
    <w:rsid w:val="00E5335D"/>
    <w:rsid w:val="00E53EDE"/>
    <w:rsid w:val="00E55611"/>
    <w:rsid w:val="00E558E4"/>
    <w:rsid w:val="00E56582"/>
    <w:rsid w:val="00E578F1"/>
    <w:rsid w:val="00E615CB"/>
    <w:rsid w:val="00E63158"/>
    <w:rsid w:val="00E63FE1"/>
    <w:rsid w:val="00E64CA4"/>
    <w:rsid w:val="00E65E6F"/>
    <w:rsid w:val="00E700A9"/>
    <w:rsid w:val="00E7029D"/>
    <w:rsid w:val="00E711C2"/>
    <w:rsid w:val="00E718FF"/>
    <w:rsid w:val="00E72C56"/>
    <w:rsid w:val="00E740F0"/>
    <w:rsid w:val="00E749C1"/>
    <w:rsid w:val="00E81257"/>
    <w:rsid w:val="00E8169E"/>
    <w:rsid w:val="00E82A87"/>
    <w:rsid w:val="00E8325F"/>
    <w:rsid w:val="00E84030"/>
    <w:rsid w:val="00E85117"/>
    <w:rsid w:val="00E86444"/>
    <w:rsid w:val="00E866EE"/>
    <w:rsid w:val="00E87C79"/>
    <w:rsid w:val="00E900F4"/>
    <w:rsid w:val="00E90DEB"/>
    <w:rsid w:val="00E90DEF"/>
    <w:rsid w:val="00E90E38"/>
    <w:rsid w:val="00E924EE"/>
    <w:rsid w:val="00E9334B"/>
    <w:rsid w:val="00E9365F"/>
    <w:rsid w:val="00E9505F"/>
    <w:rsid w:val="00E97B15"/>
    <w:rsid w:val="00E97D72"/>
    <w:rsid w:val="00EA2253"/>
    <w:rsid w:val="00EA2AC3"/>
    <w:rsid w:val="00EA4CA6"/>
    <w:rsid w:val="00EA4E35"/>
    <w:rsid w:val="00EA5E7D"/>
    <w:rsid w:val="00EA6B99"/>
    <w:rsid w:val="00EB0A5F"/>
    <w:rsid w:val="00EB0BC9"/>
    <w:rsid w:val="00EB19F4"/>
    <w:rsid w:val="00EB237E"/>
    <w:rsid w:val="00EB2C25"/>
    <w:rsid w:val="00EB393A"/>
    <w:rsid w:val="00EB451D"/>
    <w:rsid w:val="00EB6441"/>
    <w:rsid w:val="00EC09E1"/>
    <w:rsid w:val="00EC690B"/>
    <w:rsid w:val="00ED22F7"/>
    <w:rsid w:val="00ED39D1"/>
    <w:rsid w:val="00ED6FD3"/>
    <w:rsid w:val="00ED745C"/>
    <w:rsid w:val="00EE36D8"/>
    <w:rsid w:val="00EE4871"/>
    <w:rsid w:val="00EE5794"/>
    <w:rsid w:val="00EE57FC"/>
    <w:rsid w:val="00EE6728"/>
    <w:rsid w:val="00EE6966"/>
    <w:rsid w:val="00EE6B24"/>
    <w:rsid w:val="00EE73A3"/>
    <w:rsid w:val="00EF294A"/>
    <w:rsid w:val="00EF2C60"/>
    <w:rsid w:val="00EF2E43"/>
    <w:rsid w:val="00EF330B"/>
    <w:rsid w:val="00EF50A7"/>
    <w:rsid w:val="00EF6937"/>
    <w:rsid w:val="00EF7E72"/>
    <w:rsid w:val="00F008FB"/>
    <w:rsid w:val="00F00DA6"/>
    <w:rsid w:val="00F01914"/>
    <w:rsid w:val="00F02A7E"/>
    <w:rsid w:val="00F043C5"/>
    <w:rsid w:val="00F0621E"/>
    <w:rsid w:val="00F0728C"/>
    <w:rsid w:val="00F10FA4"/>
    <w:rsid w:val="00F15035"/>
    <w:rsid w:val="00F15450"/>
    <w:rsid w:val="00F1656E"/>
    <w:rsid w:val="00F165DC"/>
    <w:rsid w:val="00F170EC"/>
    <w:rsid w:val="00F22AFB"/>
    <w:rsid w:val="00F24711"/>
    <w:rsid w:val="00F25BBD"/>
    <w:rsid w:val="00F26CE9"/>
    <w:rsid w:val="00F271DB"/>
    <w:rsid w:val="00F27A0B"/>
    <w:rsid w:val="00F30567"/>
    <w:rsid w:val="00F33056"/>
    <w:rsid w:val="00F33562"/>
    <w:rsid w:val="00F3464F"/>
    <w:rsid w:val="00F36E97"/>
    <w:rsid w:val="00F406EE"/>
    <w:rsid w:val="00F41408"/>
    <w:rsid w:val="00F41790"/>
    <w:rsid w:val="00F41C7D"/>
    <w:rsid w:val="00F42FFE"/>
    <w:rsid w:val="00F43269"/>
    <w:rsid w:val="00F439B6"/>
    <w:rsid w:val="00F43D40"/>
    <w:rsid w:val="00F444D2"/>
    <w:rsid w:val="00F456F7"/>
    <w:rsid w:val="00F5106B"/>
    <w:rsid w:val="00F5154D"/>
    <w:rsid w:val="00F523E4"/>
    <w:rsid w:val="00F53D93"/>
    <w:rsid w:val="00F541C4"/>
    <w:rsid w:val="00F56824"/>
    <w:rsid w:val="00F57983"/>
    <w:rsid w:val="00F61165"/>
    <w:rsid w:val="00F61E00"/>
    <w:rsid w:val="00F621C4"/>
    <w:rsid w:val="00F63F91"/>
    <w:rsid w:val="00F64010"/>
    <w:rsid w:val="00F66DF9"/>
    <w:rsid w:val="00F7082F"/>
    <w:rsid w:val="00F71502"/>
    <w:rsid w:val="00F73AED"/>
    <w:rsid w:val="00F74B24"/>
    <w:rsid w:val="00F74CC9"/>
    <w:rsid w:val="00F74D3F"/>
    <w:rsid w:val="00F75A18"/>
    <w:rsid w:val="00F76979"/>
    <w:rsid w:val="00F80952"/>
    <w:rsid w:val="00F82831"/>
    <w:rsid w:val="00F833FA"/>
    <w:rsid w:val="00F83524"/>
    <w:rsid w:val="00F837F8"/>
    <w:rsid w:val="00F83841"/>
    <w:rsid w:val="00F8402E"/>
    <w:rsid w:val="00F846D0"/>
    <w:rsid w:val="00F8641F"/>
    <w:rsid w:val="00F86494"/>
    <w:rsid w:val="00F864FE"/>
    <w:rsid w:val="00F86AFB"/>
    <w:rsid w:val="00F876CF"/>
    <w:rsid w:val="00F91A69"/>
    <w:rsid w:val="00F91D40"/>
    <w:rsid w:val="00F92123"/>
    <w:rsid w:val="00F9484F"/>
    <w:rsid w:val="00F95595"/>
    <w:rsid w:val="00F96159"/>
    <w:rsid w:val="00F96C51"/>
    <w:rsid w:val="00FA052A"/>
    <w:rsid w:val="00FA160F"/>
    <w:rsid w:val="00FA1CA1"/>
    <w:rsid w:val="00FA4658"/>
    <w:rsid w:val="00FA6D82"/>
    <w:rsid w:val="00FA71CC"/>
    <w:rsid w:val="00FB05E1"/>
    <w:rsid w:val="00FB192A"/>
    <w:rsid w:val="00FB3463"/>
    <w:rsid w:val="00FB36CE"/>
    <w:rsid w:val="00FB3E2F"/>
    <w:rsid w:val="00FB5680"/>
    <w:rsid w:val="00FB5C88"/>
    <w:rsid w:val="00FB6E79"/>
    <w:rsid w:val="00FC2CB0"/>
    <w:rsid w:val="00FC4178"/>
    <w:rsid w:val="00FC5186"/>
    <w:rsid w:val="00FC58AA"/>
    <w:rsid w:val="00FC6A16"/>
    <w:rsid w:val="00FC7AE4"/>
    <w:rsid w:val="00FD07CB"/>
    <w:rsid w:val="00FD0BAB"/>
    <w:rsid w:val="00FD2315"/>
    <w:rsid w:val="00FD4CAB"/>
    <w:rsid w:val="00FD6630"/>
    <w:rsid w:val="00FD6923"/>
    <w:rsid w:val="00FD6EC1"/>
    <w:rsid w:val="00FD7D83"/>
    <w:rsid w:val="00FE0444"/>
    <w:rsid w:val="00FE1A61"/>
    <w:rsid w:val="00FE22BA"/>
    <w:rsid w:val="00FE360A"/>
    <w:rsid w:val="00FE40D4"/>
    <w:rsid w:val="00FE4683"/>
    <w:rsid w:val="00FE4B59"/>
    <w:rsid w:val="00FE68E1"/>
    <w:rsid w:val="00FE6A56"/>
    <w:rsid w:val="00FE6B6B"/>
    <w:rsid w:val="00FE6F3C"/>
    <w:rsid w:val="00FE7869"/>
    <w:rsid w:val="00FE79DD"/>
    <w:rsid w:val="00FF1107"/>
    <w:rsid w:val="00FF150A"/>
    <w:rsid w:val="00FF31CE"/>
    <w:rsid w:val="00FF374E"/>
    <w:rsid w:val="00FF42EC"/>
    <w:rsid w:val="00FF6A49"/>
    <w:rsid w:val="00FF70C5"/>
    <w:rsid w:val="01001B5E"/>
    <w:rsid w:val="014E4DB1"/>
    <w:rsid w:val="018A5E4B"/>
    <w:rsid w:val="018D227D"/>
    <w:rsid w:val="01DC7A9D"/>
    <w:rsid w:val="01F3521E"/>
    <w:rsid w:val="02005B8D"/>
    <w:rsid w:val="020F7B7E"/>
    <w:rsid w:val="024F0F55"/>
    <w:rsid w:val="02585E6D"/>
    <w:rsid w:val="026223A4"/>
    <w:rsid w:val="02714395"/>
    <w:rsid w:val="029C2E53"/>
    <w:rsid w:val="02A07F83"/>
    <w:rsid w:val="02A42BCC"/>
    <w:rsid w:val="02AD127A"/>
    <w:rsid w:val="02C66925"/>
    <w:rsid w:val="02E10CF1"/>
    <w:rsid w:val="02F12996"/>
    <w:rsid w:val="031779FE"/>
    <w:rsid w:val="035379F2"/>
    <w:rsid w:val="039D6A14"/>
    <w:rsid w:val="03AA2120"/>
    <w:rsid w:val="03B33D3F"/>
    <w:rsid w:val="03B804CE"/>
    <w:rsid w:val="03D632ED"/>
    <w:rsid w:val="03E70971"/>
    <w:rsid w:val="044B1F71"/>
    <w:rsid w:val="04536448"/>
    <w:rsid w:val="0477239F"/>
    <w:rsid w:val="049F62C7"/>
    <w:rsid w:val="04ED41A7"/>
    <w:rsid w:val="053C512E"/>
    <w:rsid w:val="058567FD"/>
    <w:rsid w:val="05924D4E"/>
    <w:rsid w:val="05B918A2"/>
    <w:rsid w:val="05BC0B68"/>
    <w:rsid w:val="05E0018C"/>
    <w:rsid w:val="064348E1"/>
    <w:rsid w:val="06782196"/>
    <w:rsid w:val="06DD649D"/>
    <w:rsid w:val="07071B14"/>
    <w:rsid w:val="0738443E"/>
    <w:rsid w:val="07567DEA"/>
    <w:rsid w:val="075F6EB2"/>
    <w:rsid w:val="07794B82"/>
    <w:rsid w:val="07894981"/>
    <w:rsid w:val="07CB58EF"/>
    <w:rsid w:val="08144141"/>
    <w:rsid w:val="08A27908"/>
    <w:rsid w:val="08FD6716"/>
    <w:rsid w:val="09357999"/>
    <w:rsid w:val="09594501"/>
    <w:rsid w:val="096156E6"/>
    <w:rsid w:val="09617CAD"/>
    <w:rsid w:val="09A74969"/>
    <w:rsid w:val="09ED05CF"/>
    <w:rsid w:val="0A0A1357"/>
    <w:rsid w:val="0A747118"/>
    <w:rsid w:val="0AA3355A"/>
    <w:rsid w:val="0B154E5A"/>
    <w:rsid w:val="0B185859"/>
    <w:rsid w:val="0B2102B1"/>
    <w:rsid w:val="0B4F3FA9"/>
    <w:rsid w:val="0BEB6F66"/>
    <w:rsid w:val="0BFB441A"/>
    <w:rsid w:val="0C4B413D"/>
    <w:rsid w:val="0D0763DE"/>
    <w:rsid w:val="0D4234FE"/>
    <w:rsid w:val="0D5B0143"/>
    <w:rsid w:val="0D6D0214"/>
    <w:rsid w:val="0DC3019B"/>
    <w:rsid w:val="0DFC18FF"/>
    <w:rsid w:val="0E095496"/>
    <w:rsid w:val="0E17432B"/>
    <w:rsid w:val="0E226AFF"/>
    <w:rsid w:val="0E4A1E98"/>
    <w:rsid w:val="0E772B23"/>
    <w:rsid w:val="0ED4462A"/>
    <w:rsid w:val="0EE02FCE"/>
    <w:rsid w:val="0F565C24"/>
    <w:rsid w:val="0F6D2BBC"/>
    <w:rsid w:val="0F7B3433"/>
    <w:rsid w:val="0F9E7092"/>
    <w:rsid w:val="0FCB67DE"/>
    <w:rsid w:val="0FE60171"/>
    <w:rsid w:val="107C2883"/>
    <w:rsid w:val="10A61FD0"/>
    <w:rsid w:val="10C50985"/>
    <w:rsid w:val="110046FB"/>
    <w:rsid w:val="111F7DDE"/>
    <w:rsid w:val="112A523F"/>
    <w:rsid w:val="11514C6E"/>
    <w:rsid w:val="116031BF"/>
    <w:rsid w:val="116867C2"/>
    <w:rsid w:val="11816C36"/>
    <w:rsid w:val="119C0123"/>
    <w:rsid w:val="11C101AE"/>
    <w:rsid w:val="11D230A2"/>
    <w:rsid w:val="12046675"/>
    <w:rsid w:val="121A5488"/>
    <w:rsid w:val="121F5BBC"/>
    <w:rsid w:val="122C54C9"/>
    <w:rsid w:val="124564B5"/>
    <w:rsid w:val="125F245C"/>
    <w:rsid w:val="12812142"/>
    <w:rsid w:val="12E84200"/>
    <w:rsid w:val="12F63C54"/>
    <w:rsid w:val="13FA243C"/>
    <w:rsid w:val="13FF6F15"/>
    <w:rsid w:val="14027543"/>
    <w:rsid w:val="1403780D"/>
    <w:rsid w:val="140A1912"/>
    <w:rsid w:val="140C2170"/>
    <w:rsid w:val="141765D4"/>
    <w:rsid w:val="144B115A"/>
    <w:rsid w:val="14573249"/>
    <w:rsid w:val="149136B2"/>
    <w:rsid w:val="15362DB0"/>
    <w:rsid w:val="155B0FE8"/>
    <w:rsid w:val="155C0767"/>
    <w:rsid w:val="156A35F2"/>
    <w:rsid w:val="15747EA0"/>
    <w:rsid w:val="159270A0"/>
    <w:rsid w:val="159643E7"/>
    <w:rsid w:val="15AE7982"/>
    <w:rsid w:val="15C90C2F"/>
    <w:rsid w:val="1620326D"/>
    <w:rsid w:val="16577D75"/>
    <w:rsid w:val="16ED0036"/>
    <w:rsid w:val="1709548E"/>
    <w:rsid w:val="170A79B9"/>
    <w:rsid w:val="173242D9"/>
    <w:rsid w:val="179E5456"/>
    <w:rsid w:val="18065F37"/>
    <w:rsid w:val="181626B4"/>
    <w:rsid w:val="1860154E"/>
    <w:rsid w:val="18784278"/>
    <w:rsid w:val="18787F5C"/>
    <w:rsid w:val="18833979"/>
    <w:rsid w:val="1895556D"/>
    <w:rsid w:val="18A24724"/>
    <w:rsid w:val="18D45555"/>
    <w:rsid w:val="18DC0363"/>
    <w:rsid w:val="19426E18"/>
    <w:rsid w:val="19860B90"/>
    <w:rsid w:val="19960E59"/>
    <w:rsid w:val="19C71013"/>
    <w:rsid w:val="19E24AB8"/>
    <w:rsid w:val="19E41BC5"/>
    <w:rsid w:val="19EB65F2"/>
    <w:rsid w:val="1A2A29FD"/>
    <w:rsid w:val="1A2E2687"/>
    <w:rsid w:val="1A2E48B7"/>
    <w:rsid w:val="1A4B2E53"/>
    <w:rsid w:val="1B016F54"/>
    <w:rsid w:val="1B252495"/>
    <w:rsid w:val="1B297E82"/>
    <w:rsid w:val="1B5508A0"/>
    <w:rsid w:val="1B6C5C72"/>
    <w:rsid w:val="1B781A52"/>
    <w:rsid w:val="1B9B432F"/>
    <w:rsid w:val="1BDA4A99"/>
    <w:rsid w:val="1BDB5721"/>
    <w:rsid w:val="1C3E2668"/>
    <w:rsid w:val="1C627D25"/>
    <w:rsid w:val="1CBE65D3"/>
    <w:rsid w:val="1CC81EA1"/>
    <w:rsid w:val="1CE04199"/>
    <w:rsid w:val="1CEE11D4"/>
    <w:rsid w:val="1D602F1C"/>
    <w:rsid w:val="1D6634B9"/>
    <w:rsid w:val="1D8F0380"/>
    <w:rsid w:val="1DA43419"/>
    <w:rsid w:val="1DC046F7"/>
    <w:rsid w:val="1E004AF3"/>
    <w:rsid w:val="1E4C1AE7"/>
    <w:rsid w:val="1EA46AEF"/>
    <w:rsid w:val="1EAF040D"/>
    <w:rsid w:val="1EC14893"/>
    <w:rsid w:val="1EC24D3D"/>
    <w:rsid w:val="1EC65D3D"/>
    <w:rsid w:val="1ED32208"/>
    <w:rsid w:val="1EE559BD"/>
    <w:rsid w:val="1F046865"/>
    <w:rsid w:val="1F0D2C87"/>
    <w:rsid w:val="1F3F0BDE"/>
    <w:rsid w:val="1F4C0184"/>
    <w:rsid w:val="1F4E4931"/>
    <w:rsid w:val="1F5F55B5"/>
    <w:rsid w:val="1F8359DC"/>
    <w:rsid w:val="1F8A6452"/>
    <w:rsid w:val="1F8E697E"/>
    <w:rsid w:val="1F8F6B7B"/>
    <w:rsid w:val="1F9E2816"/>
    <w:rsid w:val="1FC03E1C"/>
    <w:rsid w:val="1FE55717"/>
    <w:rsid w:val="1FFC7A87"/>
    <w:rsid w:val="1FFD0892"/>
    <w:rsid w:val="1FFF7AF3"/>
    <w:rsid w:val="20252DDE"/>
    <w:rsid w:val="20275FFC"/>
    <w:rsid w:val="204D0792"/>
    <w:rsid w:val="205B0707"/>
    <w:rsid w:val="20EE4881"/>
    <w:rsid w:val="21274A8D"/>
    <w:rsid w:val="212B0DCB"/>
    <w:rsid w:val="213845A4"/>
    <w:rsid w:val="21505D92"/>
    <w:rsid w:val="21663B25"/>
    <w:rsid w:val="2183599D"/>
    <w:rsid w:val="219A5A52"/>
    <w:rsid w:val="21BF708C"/>
    <w:rsid w:val="21DC4443"/>
    <w:rsid w:val="21DC4E80"/>
    <w:rsid w:val="21E36C06"/>
    <w:rsid w:val="22012AEC"/>
    <w:rsid w:val="220F42BC"/>
    <w:rsid w:val="2240162B"/>
    <w:rsid w:val="224F66C7"/>
    <w:rsid w:val="2281199D"/>
    <w:rsid w:val="22B064FC"/>
    <w:rsid w:val="22BA5BB9"/>
    <w:rsid w:val="22BF05E0"/>
    <w:rsid w:val="22CF0F38"/>
    <w:rsid w:val="22EA7B20"/>
    <w:rsid w:val="22F64717"/>
    <w:rsid w:val="22FA5AB7"/>
    <w:rsid w:val="230A1BFB"/>
    <w:rsid w:val="2351194D"/>
    <w:rsid w:val="23521D34"/>
    <w:rsid w:val="237C4C1C"/>
    <w:rsid w:val="2409047A"/>
    <w:rsid w:val="242363FC"/>
    <w:rsid w:val="244873A8"/>
    <w:rsid w:val="24DA545E"/>
    <w:rsid w:val="24E17924"/>
    <w:rsid w:val="24EC0B42"/>
    <w:rsid w:val="251866E2"/>
    <w:rsid w:val="251A182A"/>
    <w:rsid w:val="252E627A"/>
    <w:rsid w:val="25443823"/>
    <w:rsid w:val="25626DEB"/>
    <w:rsid w:val="25695674"/>
    <w:rsid w:val="258A13D3"/>
    <w:rsid w:val="258E2106"/>
    <w:rsid w:val="25AA6808"/>
    <w:rsid w:val="25D4688F"/>
    <w:rsid w:val="262F6BBB"/>
    <w:rsid w:val="26372915"/>
    <w:rsid w:val="26431A21"/>
    <w:rsid w:val="26C64644"/>
    <w:rsid w:val="26D44D6F"/>
    <w:rsid w:val="26E2748C"/>
    <w:rsid w:val="27383422"/>
    <w:rsid w:val="274F5F7D"/>
    <w:rsid w:val="275F064C"/>
    <w:rsid w:val="27837604"/>
    <w:rsid w:val="27D245AB"/>
    <w:rsid w:val="282C1E69"/>
    <w:rsid w:val="2856512A"/>
    <w:rsid w:val="285C482A"/>
    <w:rsid w:val="28A60C5F"/>
    <w:rsid w:val="28B7692F"/>
    <w:rsid w:val="28E13773"/>
    <w:rsid w:val="28F73DEC"/>
    <w:rsid w:val="292A6690"/>
    <w:rsid w:val="293272A7"/>
    <w:rsid w:val="297258DF"/>
    <w:rsid w:val="29730240"/>
    <w:rsid w:val="29B55A7A"/>
    <w:rsid w:val="29C176B1"/>
    <w:rsid w:val="29CE101E"/>
    <w:rsid w:val="29CF3C09"/>
    <w:rsid w:val="2A325735"/>
    <w:rsid w:val="2A3E46A9"/>
    <w:rsid w:val="2A9E6C17"/>
    <w:rsid w:val="2B2021E9"/>
    <w:rsid w:val="2B2F7D90"/>
    <w:rsid w:val="2B361B54"/>
    <w:rsid w:val="2BA1745E"/>
    <w:rsid w:val="2BE13BB9"/>
    <w:rsid w:val="2BE75544"/>
    <w:rsid w:val="2C253BA1"/>
    <w:rsid w:val="2C66290D"/>
    <w:rsid w:val="2CD14CA9"/>
    <w:rsid w:val="2CE35D0C"/>
    <w:rsid w:val="2CEE1212"/>
    <w:rsid w:val="2CF77A09"/>
    <w:rsid w:val="2D256324"/>
    <w:rsid w:val="2D9E60D7"/>
    <w:rsid w:val="2E101A3F"/>
    <w:rsid w:val="2E314FFF"/>
    <w:rsid w:val="2E4752A3"/>
    <w:rsid w:val="2E5C456A"/>
    <w:rsid w:val="2E7F3BD6"/>
    <w:rsid w:val="2EAC12E4"/>
    <w:rsid w:val="2ECE2AAE"/>
    <w:rsid w:val="2ED77712"/>
    <w:rsid w:val="2EED2E72"/>
    <w:rsid w:val="2F245B29"/>
    <w:rsid w:val="2F3A14BA"/>
    <w:rsid w:val="2F3A4AC9"/>
    <w:rsid w:val="2F504A69"/>
    <w:rsid w:val="2FB5144A"/>
    <w:rsid w:val="2FC22E49"/>
    <w:rsid w:val="2FCB1ABA"/>
    <w:rsid w:val="30602DAB"/>
    <w:rsid w:val="30777D6F"/>
    <w:rsid w:val="309B1BA1"/>
    <w:rsid w:val="3119173B"/>
    <w:rsid w:val="315E2AC2"/>
    <w:rsid w:val="31784EF6"/>
    <w:rsid w:val="31B4418F"/>
    <w:rsid w:val="31C528A4"/>
    <w:rsid w:val="32073F04"/>
    <w:rsid w:val="32132BEF"/>
    <w:rsid w:val="3279774D"/>
    <w:rsid w:val="327F012D"/>
    <w:rsid w:val="32EA4709"/>
    <w:rsid w:val="32F866A5"/>
    <w:rsid w:val="33080BC8"/>
    <w:rsid w:val="33121B08"/>
    <w:rsid w:val="33524FA2"/>
    <w:rsid w:val="33576B0C"/>
    <w:rsid w:val="33907036"/>
    <w:rsid w:val="339312E5"/>
    <w:rsid w:val="33FD3DF8"/>
    <w:rsid w:val="344E3DEA"/>
    <w:rsid w:val="34656CE5"/>
    <w:rsid w:val="34B3550A"/>
    <w:rsid w:val="35867B7C"/>
    <w:rsid w:val="35C31580"/>
    <w:rsid w:val="361659DF"/>
    <w:rsid w:val="361776CD"/>
    <w:rsid w:val="3621794D"/>
    <w:rsid w:val="36455341"/>
    <w:rsid w:val="36681030"/>
    <w:rsid w:val="36ED2A9F"/>
    <w:rsid w:val="374153A8"/>
    <w:rsid w:val="3756477D"/>
    <w:rsid w:val="37602F56"/>
    <w:rsid w:val="37810F65"/>
    <w:rsid w:val="37C1683E"/>
    <w:rsid w:val="37C30C14"/>
    <w:rsid w:val="37D16234"/>
    <w:rsid w:val="386123D4"/>
    <w:rsid w:val="38940132"/>
    <w:rsid w:val="389C364E"/>
    <w:rsid w:val="38A908CC"/>
    <w:rsid w:val="38B66208"/>
    <w:rsid w:val="390E4B8F"/>
    <w:rsid w:val="39161217"/>
    <w:rsid w:val="39226EE1"/>
    <w:rsid w:val="3945443A"/>
    <w:rsid w:val="3966255B"/>
    <w:rsid w:val="396A50BF"/>
    <w:rsid w:val="39865553"/>
    <w:rsid w:val="39967A80"/>
    <w:rsid w:val="39A84272"/>
    <w:rsid w:val="39C158AE"/>
    <w:rsid w:val="39FA1937"/>
    <w:rsid w:val="3A103193"/>
    <w:rsid w:val="3A361B71"/>
    <w:rsid w:val="3A50320B"/>
    <w:rsid w:val="3A7206CF"/>
    <w:rsid w:val="3A827E87"/>
    <w:rsid w:val="3B701141"/>
    <w:rsid w:val="3B742A87"/>
    <w:rsid w:val="3B7965AE"/>
    <w:rsid w:val="3BB201DF"/>
    <w:rsid w:val="3BE61375"/>
    <w:rsid w:val="3C050260"/>
    <w:rsid w:val="3CD933D2"/>
    <w:rsid w:val="3CEA5A1D"/>
    <w:rsid w:val="3CF41424"/>
    <w:rsid w:val="3D2F28A7"/>
    <w:rsid w:val="3D3B001C"/>
    <w:rsid w:val="3D3C24B3"/>
    <w:rsid w:val="3D404AB5"/>
    <w:rsid w:val="3D442A9D"/>
    <w:rsid w:val="3D5560D6"/>
    <w:rsid w:val="3D727BF8"/>
    <w:rsid w:val="3DC41860"/>
    <w:rsid w:val="3DC94AAA"/>
    <w:rsid w:val="3DCD0878"/>
    <w:rsid w:val="3DFE1ADA"/>
    <w:rsid w:val="3E093C7E"/>
    <w:rsid w:val="3E135378"/>
    <w:rsid w:val="3E436C56"/>
    <w:rsid w:val="3E4E1A27"/>
    <w:rsid w:val="3E542E61"/>
    <w:rsid w:val="3E5D0C29"/>
    <w:rsid w:val="3E856781"/>
    <w:rsid w:val="3E980863"/>
    <w:rsid w:val="3EB26AE9"/>
    <w:rsid w:val="3EB55AB5"/>
    <w:rsid w:val="3EDC1FA8"/>
    <w:rsid w:val="3EE8287B"/>
    <w:rsid w:val="3F6C0402"/>
    <w:rsid w:val="3F8F587F"/>
    <w:rsid w:val="3F95733A"/>
    <w:rsid w:val="3FF41637"/>
    <w:rsid w:val="40023826"/>
    <w:rsid w:val="403609E9"/>
    <w:rsid w:val="405F5199"/>
    <w:rsid w:val="4064028E"/>
    <w:rsid w:val="406665E0"/>
    <w:rsid w:val="4071427D"/>
    <w:rsid w:val="40D41A30"/>
    <w:rsid w:val="40E1601E"/>
    <w:rsid w:val="40E340D5"/>
    <w:rsid w:val="40F526FF"/>
    <w:rsid w:val="40F736DC"/>
    <w:rsid w:val="41597EF3"/>
    <w:rsid w:val="415B010F"/>
    <w:rsid w:val="41F27C08"/>
    <w:rsid w:val="42220C2D"/>
    <w:rsid w:val="42386581"/>
    <w:rsid w:val="423C49D1"/>
    <w:rsid w:val="42554B5E"/>
    <w:rsid w:val="42575C32"/>
    <w:rsid w:val="42666D6B"/>
    <w:rsid w:val="42B317F0"/>
    <w:rsid w:val="42E54497"/>
    <w:rsid w:val="42EA7C91"/>
    <w:rsid w:val="42F44377"/>
    <w:rsid w:val="42FF559D"/>
    <w:rsid w:val="43340C18"/>
    <w:rsid w:val="43551A34"/>
    <w:rsid w:val="435D1027"/>
    <w:rsid w:val="438A0837"/>
    <w:rsid w:val="439E659F"/>
    <w:rsid w:val="43BD3E51"/>
    <w:rsid w:val="43BD7009"/>
    <w:rsid w:val="4413082D"/>
    <w:rsid w:val="441E0F30"/>
    <w:rsid w:val="44267F84"/>
    <w:rsid w:val="446F0FA5"/>
    <w:rsid w:val="44805221"/>
    <w:rsid w:val="44FE6E5F"/>
    <w:rsid w:val="453160E6"/>
    <w:rsid w:val="453C7A77"/>
    <w:rsid w:val="455E1F7C"/>
    <w:rsid w:val="45F15F77"/>
    <w:rsid w:val="461E795D"/>
    <w:rsid w:val="46207802"/>
    <w:rsid w:val="4636321D"/>
    <w:rsid w:val="463B406B"/>
    <w:rsid w:val="4658215E"/>
    <w:rsid w:val="468B40CF"/>
    <w:rsid w:val="46B75E1C"/>
    <w:rsid w:val="46D71FE6"/>
    <w:rsid w:val="473006D9"/>
    <w:rsid w:val="473256EB"/>
    <w:rsid w:val="474D5F19"/>
    <w:rsid w:val="476475F1"/>
    <w:rsid w:val="478F6A8D"/>
    <w:rsid w:val="47B75250"/>
    <w:rsid w:val="47C96B4B"/>
    <w:rsid w:val="487216E8"/>
    <w:rsid w:val="487970CD"/>
    <w:rsid w:val="487B1097"/>
    <w:rsid w:val="489B5C58"/>
    <w:rsid w:val="48BA16AF"/>
    <w:rsid w:val="48BB492E"/>
    <w:rsid w:val="48EB4973"/>
    <w:rsid w:val="49583186"/>
    <w:rsid w:val="49704044"/>
    <w:rsid w:val="49CD63D1"/>
    <w:rsid w:val="49E045C4"/>
    <w:rsid w:val="49EE7223"/>
    <w:rsid w:val="49FB4C10"/>
    <w:rsid w:val="4A366632"/>
    <w:rsid w:val="4A6022F2"/>
    <w:rsid w:val="4A8E50B1"/>
    <w:rsid w:val="4AE46B73"/>
    <w:rsid w:val="4B014813"/>
    <w:rsid w:val="4BBF0D4E"/>
    <w:rsid w:val="4BD20A22"/>
    <w:rsid w:val="4BD27220"/>
    <w:rsid w:val="4BF076A6"/>
    <w:rsid w:val="4C341388"/>
    <w:rsid w:val="4C525161"/>
    <w:rsid w:val="4C726593"/>
    <w:rsid w:val="4C7E35A5"/>
    <w:rsid w:val="4C9455F7"/>
    <w:rsid w:val="4D303A89"/>
    <w:rsid w:val="4D3933C8"/>
    <w:rsid w:val="4D792DE5"/>
    <w:rsid w:val="4D7E7F63"/>
    <w:rsid w:val="4D8339D1"/>
    <w:rsid w:val="4E1A0FFE"/>
    <w:rsid w:val="4E1F4AD9"/>
    <w:rsid w:val="4E546612"/>
    <w:rsid w:val="4EB01A70"/>
    <w:rsid w:val="4ED85647"/>
    <w:rsid w:val="4EDE6A2F"/>
    <w:rsid w:val="4EF820B0"/>
    <w:rsid w:val="4F791066"/>
    <w:rsid w:val="4F870321"/>
    <w:rsid w:val="4F926627"/>
    <w:rsid w:val="4FF57980"/>
    <w:rsid w:val="501A73E7"/>
    <w:rsid w:val="505E21B1"/>
    <w:rsid w:val="507F1928"/>
    <w:rsid w:val="50BF0CB4"/>
    <w:rsid w:val="50C571B4"/>
    <w:rsid w:val="5140482D"/>
    <w:rsid w:val="51592D52"/>
    <w:rsid w:val="515E457D"/>
    <w:rsid w:val="51605D4F"/>
    <w:rsid w:val="517C6D35"/>
    <w:rsid w:val="51A632FE"/>
    <w:rsid w:val="51CF69C1"/>
    <w:rsid w:val="521042D1"/>
    <w:rsid w:val="522A15B1"/>
    <w:rsid w:val="525739CF"/>
    <w:rsid w:val="52AD4A6F"/>
    <w:rsid w:val="52CF6267"/>
    <w:rsid w:val="536019BA"/>
    <w:rsid w:val="536565AC"/>
    <w:rsid w:val="539D1769"/>
    <w:rsid w:val="53A5264E"/>
    <w:rsid w:val="53F45F01"/>
    <w:rsid w:val="54191E17"/>
    <w:rsid w:val="5453236C"/>
    <w:rsid w:val="54867B70"/>
    <w:rsid w:val="54CB6F02"/>
    <w:rsid w:val="552A3C28"/>
    <w:rsid w:val="555962BC"/>
    <w:rsid w:val="55B654BC"/>
    <w:rsid w:val="55D504D0"/>
    <w:rsid w:val="56017F43"/>
    <w:rsid w:val="560E2B1B"/>
    <w:rsid w:val="56442F20"/>
    <w:rsid w:val="56CC22E8"/>
    <w:rsid w:val="56FC3680"/>
    <w:rsid w:val="572E0949"/>
    <w:rsid w:val="573568B4"/>
    <w:rsid w:val="57376AD1"/>
    <w:rsid w:val="573E2BBC"/>
    <w:rsid w:val="574B0F7D"/>
    <w:rsid w:val="57853BD7"/>
    <w:rsid w:val="57F1794F"/>
    <w:rsid w:val="580D54C3"/>
    <w:rsid w:val="58AF23C2"/>
    <w:rsid w:val="58E416A2"/>
    <w:rsid w:val="594E6112"/>
    <w:rsid w:val="59637709"/>
    <w:rsid w:val="59703B78"/>
    <w:rsid w:val="59747B68"/>
    <w:rsid w:val="59892BEA"/>
    <w:rsid w:val="59BA7BF0"/>
    <w:rsid w:val="59C61376"/>
    <w:rsid w:val="59EA04D2"/>
    <w:rsid w:val="59EC1ED9"/>
    <w:rsid w:val="5A040205"/>
    <w:rsid w:val="5A21183E"/>
    <w:rsid w:val="5A252C10"/>
    <w:rsid w:val="5A2D0F29"/>
    <w:rsid w:val="5A8B1542"/>
    <w:rsid w:val="5A9F6E67"/>
    <w:rsid w:val="5AC16DDD"/>
    <w:rsid w:val="5AC91207"/>
    <w:rsid w:val="5AD00DCE"/>
    <w:rsid w:val="5B392E17"/>
    <w:rsid w:val="5B3D1165"/>
    <w:rsid w:val="5B4517BC"/>
    <w:rsid w:val="5B5D585B"/>
    <w:rsid w:val="5C207B33"/>
    <w:rsid w:val="5C234A62"/>
    <w:rsid w:val="5C2E7F99"/>
    <w:rsid w:val="5C4A66D1"/>
    <w:rsid w:val="5CB12E81"/>
    <w:rsid w:val="5CCC3481"/>
    <w:rsid w:val="5CD43EAD"/>
    <w:rsid w:val="5CE84AF5"/>
    <w:rsid w:val="5D09386C"/>
    <w:rsid w:val="5D602EAA"/>
    <w:rsid w:val="5D731EE5"/>
    <w:rsid w:val="5DB26EB1"/>
    <w:rsid w:val="5DD62B9F"/>
    <w:rsid w:val="5DD7522E"/>
    <w:rsid w:val="5E3D0FC9"/>
    <w:rsid w:val="5E40270F"/>
    <w:rsid w:val="5E4E02F3"/>
    <w:rsid w:val="5E7826B8"/>
    <w:rsid w:val="5EA00F75"/>
    <w:rsid w:val="5EE21A71"/>
    <w:rsid w:val="5EFB44C5"/>
    <w:rsid w:val="5F226E9F"/>
    <w:rsid w:val="5FC24B99"/>
    <w:rsid w:val="5FF57762"/>
    <w:rsid w:val="6033635C"/>
    <w:rsid w:val="607E57DC"/>
    <w:rsid w:val="60A15E3E"/>
    <w:rsid w:val="60AE60A4"/>
    <w:rsid w:val="60DC1F5B"/>
    <w:rsid w:val="60F35A75"/>
    <w:rsid w:val="619E1C26"/>
    <w:rsid w:val="61B22229"/>
    <w:rsid w:val="61E909C7"/>
    <w:rsid w:val="61EE2EFF"/>
    <w:rsid w:val="622141ED"/>
    <w:rsid w:val="623D0EA0"/>
    <w:rsid w:val="62B60E9E"/>
    <w:rsid w:val="62E47B0C"/>
    <w:rsid w:val="63057C1F"/>
    <w:rsid w:val="630E1988"/>
    <w:rsid w:val="630F48A6"/>
    <w:rsid w:val="631622A3"/>
    <w:rsid w:val="63214D15"/>
    <w:rsid w:val="6368410D"/>
    <w:rsid w:val="638A4B73"/>
    <w:rsid w:val="63974B7F"/>
    <w:rsid w:val="640A450E"/>
    <w:rsid w:val="643C1B9B"/>
    <w:rsid w:val="646222F6"/>
    <w:rsid w:val="64801AB7"/>
    <w:rsid w:val="648E2843"/>
    <w:rsid w:val="64AF375E"/>
    <w:rsid w:val="64EA71F9"/>
    <w:rsid w:val="654226A2"/>
    <w:rsid w:val="65A02DF3"/>
    <w:rsid w:val="65AE7F5E"/>
    <w:rsid w:val="65C47472"/>
    <w:rsid w:val="65DB5480"/>
    <w:rsid w:val="65EB11B2"/>
    <w:rsid w:val="661A4691"/>
    <w:rsid w:val="668B029F"/>
    <w:rsid w:val="669811DF"/>
    <w:rsid w:val="66D13753"/>
    <w:rsid w:val="66E1272B"/>
    <w:rsid w:val="66EF4CD2"/>
    <w:rsid w:val="66F66060"/>
    <w:rsid w:val="67186B34"/>
    <w:rsid w:val="673C09AC"/>
    <w:rsid w:val="67911EB1"/>
    <w:rsid w:val="679F04A6"/>
    <w:rsid w:val="67A24EBF"/>
    <w:rsid w:val="68795550"/>
    <w:rsid w:val="68896A60"/>
    <w:rsid w:val="689616BC"/>
    <w:rsid w:val="689E58B0"/>
    <w:rsid w:val="68E5013A"/>
    <w:rsid w:val="68EF0309"/>
    <w:rsid w:val="69001A79"/>
    <w:rsid w:val="690E6CA0"/>
    <w:rsid w:val="692A7ABA"/>
    <w:rsid w:val="693624EA"/>
    <w:rsid w:val="699105FD"/>
    <w:rsid w:val="69CC4E56"/>
    <w:rsid w:val="69E63E4A"/>
    <w:rsid w:val="69F4080C"/>
    <w:rsid w:val="6A3550F2"/>
    <w:rsid w:val="6A970DF1"/>
    <w:rsid w:val="6AC65D4A"/>
    <w:rsid w:val="6AC73B45"/>
    <w:rsid w:val="6AD47A24"/>
    <w:rsid w:val="6AD62CCC"/>
    <w:rsid w:val="6AF00B80"/>
    <w:rsid w:val="6AF37F52"/>
    <w:rsid w:val="6AF604DE"/>
    <w:rsid w:val="6B4D5CBE"/>
    <w:rsid w:val="6B61259E"/>
    <w:rsid w:val="6B797260"/>
    <w:rsid w:val="6B7C7406"/>
    <w:rsid w:val="6BBB6068"/>
    <w:rsid w:val="6BE82855"/>
    <w:rsid w:val="6C2E653B"/>
    <w:rsid w:val="6C474C68"/>
    <w:rsid w:val="6C4B2BB0"/>
    <w:rsid w:val="6C5F0CBC"/>
    <w:rsid w:val="6C6475C8"/>
    <w:rsid w:val="6C6F2CB4"/>
    <w:rsid w:val="6C9560D6"/>
    <w:rsid w:val="6C9F799D"/>
    <w:rsid w:val="6CAD3615"/>
    <w:rsid w:val="6CAE6A63"/>
    <w:rsid w:val="6CBF6EF4"/>
    <w:rsid w:val="6D26751F"/>
    <w:rsid w:val="6D6E7CFA"/>
    <w:rsid w:val="6DA8114A"/>
    <w:rsid w:val="6DB3159D"/>
    <w:rsid w:val="6E470F4F"/>
    <w:rsid w:val="6E5538CD"/>
    <w:rsid w:val="6E6A462D"/>
    <w:rsid w:val="6E701AAD"/>
    <w:rsid w:val="6EAE7978"/>
    <w:rsid w:val="6EC16F54"/>
    <w:rsid w:val="6F2B0871"/>
    <w:rsid w:val="6F2F096D"/>
    <w:rsid w:val="6F451933"/>
    <w:rsid w:val="6F4D5433"/>
    <w:rsid w:val="6F701F17"/>
    <w:rsid w:val="6F725636"/>
    <w:rsid w:val="6F764DA8"/>
    <w:rsid w:val="6F9E4D32"/>
    <w:rsid w:val="6FCF2480"/>
    <w:rsid w:val="6FD9207B"/>
    <w:rsid w:val="705160B5"/>
    <w:rsid w:val="707249EA"/>
    <w:rsid w:val="70AC59E2"/>
    <w:rsid w:val="71715C11"/>
    <w:rsid w:val="717209D9"/>
    <w:rsid w:val="71733E34"/>
    <w:rsid w:val="71804EA4"/>
    <w:rsid w:val="71E847F7"/>
    <w:rsid w:val="72051613"/>
    <w:rsid w:val="720E2EC1"/>
    <w:rsid w:val="723D0DAC"/>
    <w:rsid w:val="72563E57"/>
    <w:rsid w:val="7285473C"/>
    <w:rsid w:val="72F30CC4"/>
    <w:rsid w:val="7309711B"/>
    <w:rsid w:val="73351CBE"/>
    <w:rsid w:val="73515FED"/>
    <w:rsid w:val="735C724B"/>
    <w:rsid w:val="73615A27"/>
    <w:rsid w:val="737D2045"/>
    <w:rsid w:val="73962A95"/>
    <w:rsid w:val="73C27671"/>
    <w:rsid w:val="73C619B4"/>
    <w:rsid w:val="73D129E3"/>
    <w:rsid w:val="74106453"/>
    <w:rsid w:val="743B1556"/>
    <w:rsid w:val="746829B7"/>
    <w:rsid w:val="74AF5AA0"/>
    <w:rsid w:val="74FB048F"/>
    <w:rsid w:val="751A0951"/>
    <w:rsid w:val="7560335D"/>
    <w:rsid w:val="756920F3"/>
    <w:rsid w:val="75DD302D"/>
    <w:rsid w:val="75F350FE"/>
    <w:rsid w:val="75FF0362"/>
    <w:rsid w:val="760A4054"/>
    <w:rsid w:val="76156EB7"/>
    <w:rsid w:val="763841D2"/>
    <w:rsid w:val="76866C64"/>
    <w:rsid w:val="76BF1DC1"/>
    <w:rsid w:val="77197BA1"/>
    <w:rsid w:val="7720699B"/>
    <w:rsid w:val="777E147A"/>
    <w:rsid w:val="77A41E00"/>
    <w:rsid w:val="77E45A61"/>
    <w:rsid w:val="780B1240"/>
    <w:rsid w:val="782A5B6A"/>
    <w:rsid w:val="782F0311"/>
    <w:rsid w:val="78312C87"/>
    <w:rsid w:val="78400B56"/>
    <w:rsid w:val="7844467A"/>
    <w:rsid w:val="786170B2"/>
    <w:rsid w:val="7879264D"/>
    <w:rsid w:val="78992219"/>
    <w:rsid w:val="78C55C74"/>
    <w:rsid w:val="794D5326"/>
    <w:rsid w:val="798D1B37"/>
    <w:rsid w:val="7A063D97"/>
    <w:rsid w:val="7A23414C"/>
    <w:rsid w:val="7AB717F9"/>
    <w:rsid w:val="7AF20495"/>
    <w:rsid w:val="7B0C398F"/>
    <w:rsid w:val="7B4011D8"/>
    <w:rsid w:val="7B60790F"/>
    <w:rsid w:val="7B7A7621"/>
    <w:rsid w:val="7B9D48A5"/>
    <w:rsid w:val="7BDE7397"/>
    <w:rsid w:val="7BF63742"/>
    <w:rsid w:val="7C0C1443"/>
    <w:rsid w:val="7C2A77E6"/>
    <w:rsid w:val="7C6D0816"/>
    <w:rsid w:val="7CA572A5"/>
    <w:rsid w:val="7CAC007D"/>
    <w:rsid w:val="7CCF01D0"/>
    <w:rsid w:val="7D293DEE"/>
    <w:rsid w:val="7D600FE9"/>
    <w:rsid w:val="7DAB2996"/>
    <w:rsid w:val="7DAE2D99"/>
    <w:rsid w:val="7DE519C8"/>
    <w:rsid w:val="7E1833F1"/>
    <w:rsid w:val="7E225C69"/>
    <w:rsid w:val="7E3443A3"/>
    <w:rsid w:val="7E5F7095"/>
    <w:rsid w:val="7ED377DB"/>
    <w:rsid w:val="7F2350C1"/>
    <w:rsid w:val="7F49721F"/>
    <w:rsid w:val="7F54171E"/>
    <w:rsid w:val="7F6D0EB5"/>
    <w:rsid w:val="7F705A51"/>
    <w:rsid w:val="7F834BBE"/>
    <w:rsid w:val="7FCC3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1624"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4"/>
    <w:link w:val="25"/>
    <w:qFormat/>
    <w:uiPriority w:val="0"/>
    <w:pPr>
      <w:keepNext/>
      <w:keepLines/>
      <w:adjustRightInd w:val="0"/>
      <w:snapToGrid w:val="0"/>
      <w:spacing w:line="336" w:lineRule="auto"/>
      <w:ind w:firstLine="601"/>
      <w:outlineLvl w:val="1"/>
    </w:pPr>
    <w:rPr>
      <w:rFonts w:eastAsia="仿宋_GB2312"/>
      <w:b/>
      <w:kern w:val="0"/>
      <w:sz w:val="30"/>
      <w:szCs w:val="20"/>
    </w:rPr>
  </w:style>
  <w:style w:type="paragraph" w:styleId="5">
    <w:name w:val="heading 3"/>
    <w:basedOn w:val="1"/>
    <w:next w:val="1"/>
    <w:link w:val="26"/>
    <w:qFormat/>
    <w:uiPriority w:val="0"/>
    <w:pPr>
      <w:keepNext/>
      <w:keepLines/>
      <w:adjustRightInd w:val="0"/>
      <w:snapToGrid w:val="0"/>
      <w:spacing w:line="336" w:lineRule="auto"/>
      <w:ind w:firstLine="601"/>
      <w:textAlignment w:val="baseline"/>
      <w:outlineLvl w:val="2"/>
    </w:pPr>
    <w:rPr>
      <w:rFonts w:ascii="仿宋_GB2312" w:eastAsia="仿宋_GB2312"/>
      <w:b/>
      <w:kern w:val="0"/>
      <w:sz w:val="32"/>
      <w:szCs w:val="20"/>
    </w:rPr>
  </w:style>
  <w:style w:type="character" w:default="1" w:styleId="22">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pacing w:line="360" w:lineRule="atLeast"/>
      <w:ind w:firstLine="420"/>
      <w:jc w:val="left"/>
      <w:textAlignment w:val="baseline"/>
    </w:pPr>
    <w:rPr>
      <w:rFonts w:ascii="Calibri" w:hAnsi="Calibri" w:cs="黑体"/>
      <w:kern w:val="0"/>
      <w:sz w:val="24"/>
      <w:szCs w:val="22"/>
    </w:rPr>
  </w:style>
  <w:style w:type="paragraph" w:styleId="6">
    <w:name w:val="table of authorities"/>
    <w:basedOn w:val="1"/>
    <w:next w:val="1"/>
    <w:unhideWhenUsed/>
    <w:qFormat/>
    <w:uiPriority w:val="99"/>
    <w:pPr>
      <w:ind w:left="420" w:leftChars="200"/>
    </w:pPr>
    <w:rPr>
      <w:rFonts w:eastAsia="宋体"/>
      <w:sz w:val="24"/>
    </w:rPr>
  </w:style>
  <w:style w:type="paragraph" w:styleId="7">
    <w:name w:val="annotation text"/>
    <w:basedOn w:val="1"/>
    <w:qFormat/>
    <w:uiPriority w:val="0"/>
    <w:pPr>
      <w:jc w:val="left"/>
    </w:pPr>
  </w:style>
  <w:style w:type="paragraph" w:styleId="8">
    <w:name w:val="Body Text"/>
    <w:basedOn w:val="1"/>
    <w:link w:val="27"/>
    <w:qFormat/>
    <w:uiPriority w:val="99"/>
    <w:pPr>
      <w:spacing w:after="120"/>
    </w:pPr>
    <w:rPr>
      <w:szCs w:val="20"/>
    </w:rPr>
  </w:style>
  <w:style w:type="paragraph" w:styleId="9">
    <w:name w:val="Body Text Indent"/>
    <w:basedOn w:val="1"/>
    <w:link w:val="28"/>
    <w:qFormat/>
    <w:uiPriority w:val="0"/>
    <w:pPr>
      <w:spacing w:after="120"/>
      <w:ind w:left="420" w:leftChars="200"/>
    </w:pPr>
  </w:style>
  <w:style w:type="paragraph" w:styleId="10">
    <w:name w:val="Plain Text"/>
    <w:basedOn w:val="1"/>
    <w:link w:val="29"/>
    <w:qFormat/>
    <w:uiPriority w:val="0"/>
    <w:rPr>
      <w:rFonts w:ascii="宋体" w:hAnsi="Courier New"/>
      <w:szCs w:val="21"/>
    </w:rPr>
  </w:style>
  <w:style w:type="paragraph" w:styleId="11">
    <w:name w:val="Date"/>
    <w:basedOn w:val="1"/>
    <w:next w:val="1"/>
    <w:link w:val="30"/>
    <w:qFormat/>
    <w:uiPriority w:val="0"/>
    <w:pPr>
      <w:ind w:left="100" w:leftChars="2500"/>
    </w:pPr>
  </w:style>
  <w:style w:type="paragraph" w:styleId="12">
    <w:name w:val="Balloon Text"/>
    <w:basedOn w:val="1"/>
    <w:link w:val="31"/>
    <w:qFormat/>
    <w:uiPriority w:val="0"/>
    <w:rPr>
      <w:sz w:val="18"/>
      <w:szCs w:val="18"/>
    </w:rPr>
  </w:style>
  <w:style w:type="paragraph" w:styleId="13">
    <w:name w:val="footer"/>
    <w:basedOn w:val="1"/>
    <w:link w:val="32"/>
    <w:qFormat/>
    <w:uiPriority w:val="99"/>
    <w:pPr>
      <w:tabs>
        <w:tab w:val="center" w:pos="4153"/>
        <w:tab w:val="right" w:pos="8306"/>
      </w:tabs>
      <w:snapToGrid w:val="0"/>
    </w:pPr>
    <w:rPr>
      <w:sz w:val="20"/>
      <w:szCs w:val="20"/>
    </w:rPr>
  </w:style>
  <w:style w:type="paragraph" w:styleId="14">
    <w:name w:val="header"/>
    <w:basedOn w:val="1"/>
    <w:link w:val="33"/>
    <w:qFormat/>
    <w:uiPriority w:val="99"/>
    <w:pPr>
      <w:tabs>
        <w:tab w:val="center" w:pos="4153"/>
        <w:tab w:val="right" w:pos="8306"/>
      </w:tabs>
      <w:snapToGrid w:val="0"/>
    </w:pPr>
    <w:rPr>
      <w:sz w:val="20"/>
      <w:szCs w:val="20"/>
    </w:rPr>
  </w:style>
  <w:style w:type="paragraph" w:styleId="15">
    <w:name w:val="Subtitle"/>
    <w:basedOn w:val="1"/>
    <w:next w:val="1"/>
    <w:link w:val="49"/>
    <w:qFormat/>
    <w:uiPriority w:val="0"/>
    <w:pPr>
      <w:spacing w:before="240" w:after="60" w:line="312" w:lineRule="auto"/>
      <w:jc w:val="center"/>
      <w:outlineLvl w:val="1"/>
    </w:pPr>
    <w:rPr>
      <w:rFonts w:ascii="等线 Light" w:hAnsi="等线 Light"/>
      <w:b/>
      <w:bCs/>
      <w:kern w:val="28"/>
      <w:sz w:val="32"/>
      <w:szCs w:val="32"/>
    </w:rPr>
  </w:style>
  <w:style w:type="paragraph" w:styleId="16">
    <w:name w:val="Body Text Indent 3"/>
    <w:basedOn w:val="1"/>
    <w:qFormat/>
    <w:uiPriority w:val="1624"/>
    <w:pPr>
      <w:autoSpaceDE w:val="0"/>
      <w:autoSpaceDN w:val="0"/>
      <w:adjustRightInd w:val="0"/>
      <w:spacing w:line="320" w:lineRule="exact"/>
      <w:ind w:left="567" w:leftChars="270" w:firstLine="389" w:firstLineChars="162"/>
    </w:pPr>
    <w:rPr>
      <w:rFonts w:ascii="楷体_GB2312" w:hAnsi="宋体" w:eastAsia="楷体_GB2312"/>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18"/>
      <w:szCs w:val="18"/>
    </w:rPr>
  </w:style>
  <w:style w:type="paragraph" w:styleId="18">
    <w:name w:val="Body Text First Indent"/>
    <w:basedOn w:val="8"/>
    <w:link w:val="34"/>
    <w:qFormat/>
    <w:uiPriority w:val="0"/>
    <w:pPr>
      <w:ind w:firstLine="420" w:firstLineChars="100"/>
    </w:pPr>
    <w:rPr>
      <w:kern w:val="0"/>
      <w:sz w:val="20"/>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unhideWhenUsed/>
    <w:qFormat/>
    <w:uiPriority w:val="0"/>
    <w:rPr>
      <w:color w:val="0000FF"/>
      <w:u w:val="single"/>
    </w:rPr>
  </w:style>
  <w:style w:type="character" w:customStyle="1" w:styleId="25">
    <w:name w:val="标题 2 字符"/>
    <w:link w:val="3"/>
    <w:qFormat/>
    <w:uiPriority w:val="0"/>
    <w:rPr>
      <w:rFonts w:eastAsia="仿宋_GB2312"/>
      <w:b/>
      <w:sz w:val="30"/>
    </w:rPr>
  </w:style>
  <w:style w:type="character" w:customStyle="1" w:styleId="26">
    <w:name w:val="标题 3 字符"/>
    <w:link w:val="5"/>
    <w:qFormat/>
    <w:uiPriority w:val="0"/>
    <w:rPr>
      <w:rFonts w:ascii="仿宋_GB2312" w:eastAsia="仿宋_GB2312"/>
      <w:b/>
      <w:sz w:val="32"/>
    </w:rPr>
  </w:style>
  <w:style w:type="character" w:customStyle="1" w:styleId="27">
    <w:name w:val="正文文本 字符"/>
    <w:link w:val="8"/>
    <w:qFormat/>
    <w:uiPriority w:val="99"/>
    <w:rPr>
      <w:kern w:val="2"/>
      <w:sz w:val="21"/>
    </w:rPr>
  </w:style>
  <w:style w:type="character" w:customStyle="1" w:styleId="28">
    <w:name w:val="正文文本缩进 字符"/>
    <w:link w:val="9"/>
    <w:qFormat/>
    <w:uiPriority w:val="0"/>
    <w:rPr>
      <w:kern w:val="2"/>
      <w:sz w:val="21"/>
      <w:szCs w:val="24"/>
    </w:rPr>
  </w:style>
  <w:style w:type="character" w:customStyle="1" w:styleId="29">
    <w:name w:val="纯文本 字符"/>
    <w:link w:val="10"/>
    <w:qFormat/>
    <w:uiPriority w:val="0"/>
    <w:rPr>
      <w:rFonts w:ascii="宋体" w:hAnsi="Courier New" w:cs="黑体"/>
      <w:kern w:val="2"/>
      <w:sz w:val="21"/>
      <w:szCs w:val="21"/>
    </w:rPr>
  </w:style>
  <w:style w:type="character" w:customStyle="1" w:styleId="30">
    <w:name w:val="日期 字符"/>
    <w:link w:val="11"/>
    <w:qFormat/>
    <w:uiPriority w:val="0"/>
    <w:rPr>
      <w:kern w:val="2"/>
      <w:sz w:val="21"/>
      <w:szCs w:val="24"/>
    </w:rPr>
  </w:style>
  <w:style w:type="character" w:customStyle="1" w:styleId="31">
    <w:name w:val="批注框文本 字符"/>
    <w:link w:val="12"/>
    <w:qFormat/>
    <w:uiPriority w:val="0"/>
    <w:rPr>
      <w:kern w:val="2"/>
      <w:sz w:val="18"/>
      <w:szCs w:val="18"/>
    </w:rPr>
  </w:style>
  <w:style w:type="character" w:customStyle="1" w:styleId="32">
    <w:name w:val="页脚 字符"/>
    <w:link w:val="13"/>
    <w:qFormat/>
    <w:uiPriority w:val="99"/>
    <w:rPr>
      <w:kern w:val="2"/>
    </w:rPr>
  </w:style>
  <w:style w:type="character" w:customStyle="1" w:styleId="33">
    <w:name w:val="页眉 字符"/>
    <w:link w:val="14"/>
    <w:qFormat/>
    <w:uiPriority w:val="99"/>
    <w:rPr>
      <w:kern w:val="2"/>
    </w:rPr>
  </w:style>
  <w:style w:type="character" w:customStyle="1" w:styleId="34">
    <w:name w:val="正文文本首行缩进 字符"/>
    <w:link w:val="18"/>
    <w:qFormat/>
    <w:uiPriority w:val="0"/>
    <w:rPr>
      <w:szCs w:val="24"/>
    </w:rPr>
  </w:style>
  <w:style w:type="character" w:customStyle="1" w:styleId="35">
    <w:name w:val="p121"/>
    <w:qFormat/>
    <w:uiPriority w:val="0"/>
    <w:rPr>
      <w:rFonts w:hint="default" w:ascii="_x000B__x000C_" w:hAnsi="_x000B__x000C_"/>
      <w:sz w:val="24"/>
      <w:szCs w:val="24"/>
      <w:u w:val="none"/>
    </w:rPr>
  </w:style>
  <w:style w:type="character" w:customStyle="1" w:styleId="36">
    <w:name w:val="NormalCharacter"/>
    <w:semiHidden/>
    <w:qFormat/>
    <w:uiPriority w:val="0"/>
  </w:style>
  <w:style w:type="paragraph" w:customStyle="1" w:styleId="37">
    <w:name w:val="表格"/>
    <w:qFormat/>
    <w:uiPriority w:val="0"/>
    <w:pPr>
      <w:adjustRightInd w:val="0"/>
      <w:snapToGrid w:val="0"/>
      <w:spacing w:before="40" w:after="40"/>
      <w:jc w:val="center"/>
    </w:pPr>
    <w:rPr>
      <w:rFonts w:ascii="仿宋_GB2312" w:hAnsi="Times New Roman" w:eastAsia="仿宋_GB2312" w:cs="Times New Roman"/>
      <w:sz w:val="24"/>
      <w:lang w:val="en-US" w:eastAsia="zh-CN" w:bidi="ar-SA"/>
    </w:rPr>
  </w:style>
  <w:style w:type="paragraph" w:styleId="38">
    <w:name w:val="List Paragraph"/>
    <w:basedOn w:val="1"/>
    <w:qFormat/>
    <w:uiPriority w:val="99"/>
    <w:pPr>
      <w:ind w:firstLine="420" w:firstLineChars="200"/>
    </w:pPr>
    <w:rPr>
      <w:rFonts w:ascii="Times New Roman" w:hAnsi="Times New Roman"/>
    </w:rPr>
  </w:style>
  <w:style w:type="paragraph" w:customStyle="1" w:styleId="39">
    <w:name w:val="p12"/>
    <w:basedOn w:val="1"/>
    <w:qFormat/>
    <w:uiPriority w:val="99"/>
    <w:pPr>
      <w:widowControl/>
      <w:spacing w:before="100" w:beforeAutospacing="1" w:after="100" w:afterAutospacing="1"/>
      <w:jc w:val="left"/>
    </w:pPr>
    <w:rPr>
      <w:rFonts w:ascii="_x000B__x000C_" w:hAnsi="_x000B__x000C_"/>
      <w:color w:val="000000"/>
      <w:kern w:val="0"/>
      <w:sz w:val="24"/>
    </w:rPr>
  </w:style>
  <w:style w:type="paragraph" w:customStyle="1" w:styleId="40">
    <w:name w:val="p10"/>
    <w:basedOn w:val="1"/>
    <w:qFormat/>
    <w:uiPriority w:val="0"/>
    <w:pPr>
      <w:widowControl/>
      <w:spacing w:before="100" w:beforeAutospacing="1" w:after="100" w:afterAutospacing="1"/>
      <w:jc w:val="left"/>
    </w:pPr>
    <w:rPr>
      <w:rFonts w:ascii="_x000B__x000C_" w:hAnsi="_x000B__x000C_"/>
      <w:color w:val="000000"/>
      <w:kern w:val="0"/>
      <w:sz w:val="20"/>
      <w:szCs w:val="20"/>
    </w:rPr>
  </w:style>
  <w:style w:type="paragraph" w:customStyle="1" w:styleId="41">
    <w:name w:val="BodyText1I2"/>
    <w:basedOn w:val="42"/>
    <w:qFormat/>
    <w:uiPriority w:val="0"/>
    <w:pPr>
      <w:spacing w:line="360" w:lineRule="auto"/>
      <w:ind w:firstLine="420" w:firstLineChars="200"/>
      <w:jc w:val="both"/>
      <w:textAlignment w:val="baseline"/>
    </w:pPr>
  </w:style>
  <w:style w:type="paragraph" w:customStyle="1" w:styleId="42">
    <w:name w:val="BodyTextIndent"/>
    <w:basedOn w:val="1"/>
    <w:qFormat/>
    <w:uiPriority w:val="0"/>
    <w:pPr>
      <w:spacing w:line="360" w:lineRule="auto"/>
      <w:ind w:firstLine="540" w:firstLineChars="225"/>
      <w:jc w:val="both"/>
      <w:textAlignment w:val="baseline"/>
    </w:pPr>
    <w:rPr>
      <w:kern w:val="2"/>
      <w:sz w:val="24"/>
      <w:szCs w:val="24"/>
      <w:lang w:val="en-US" w:eastAsia="zh-CN" w:bidi="ar-SA"/>
    </w:rPr>
  </w:style>
  <w:style w:type="paragraph" w:customStyle="1" w:styleId="43">
    <w:name w:val="Body Text Indent 2"/>
    <w:basedOn w:val="1"/>
    <w:qFormat/>
    <w:uiPriority w:val="0"/>
    <w:pPr>
      <w:spacing w:line="560" w:lineRule="exact"/>
      <w:ind w:firstLine="560" w:firstLineChars="200"/>
    </w:pPr>
    <w:rPr>
      <w:rFonts w:ascii="宋体" w:hAnsi="宋体"/>
      <w:sz w:val="28"/>
    </w:rPr>
  </w:style>
  <w:style w:type="paragraph" w:customStyle="1" w:styleId="44">
    <w:name w:val="Heading #2|1"/>
    <w:basedOn w:val="1"/>
    <w:qFormat/>
    <w:uiPriority w:val="0"/>
    <w:pPr>
      <w:spacing w:after="220"/>
      <w:jc w:val="left"/>
      <w:outlineLvl w:val="1"/>
    </w:pPr>
    <w:rPr>
      <w:rFonts w:ascii="宋体" w:hAnsi="宋体" w:cs="宋体"/>
      <w:color w:val="000000"/>
      <w:kern w:val="0"/>
      <w:sz w:val="26"/>
      <w:szCs w:val="26"/>
      <w:lang w:val="zh-TW" w:eastAsia="zh-TW" w:bidi="zh-TW"/>
    </w:rPr>
  </w:style>
  <w:style w:type="paragraph" w:customStyle="1" w:styleId="45">
    <w:name w:val="Body text|1"/>
    <w:basedOn w:val="1"/>
    <w:qFormat/>
    <w:uiPriority w:val="0"/>
    <w:pPr>
      <w:spacing w:line="480" w:lineRule="auto"/>
      <w:jc w:val="left"/>
    </w:pPr>
    <w:rPr>
      <w:rFonts w:ascii="宋体" w:hAnsi="宋体" w:cs="宋体"/>
      <w:color w:val="000000"/>
      <w:kern w:val="0"/>
      <w:sz w:val="17"/>
      <w:szCs w:val="17"/>
      <w:lang w:val="zh-TW" w:eastAsia="zh-TW" w:bidi="zh-TW"/>
    </w:rPr>
  </w:style>
  <w:style w:type="character" w:customStyle="1" w:styleId="46">
    <w:name w:val="font11"/>
    <w:qFormat/>
    <w:uiPriority w:val="0"/>
    <w:rPr>
      <w:rFonts w:hint="eastAsia" w:ascii="宋体" w:hAnsi="宋体" w:eastAsia="宋体" w:cs="宋体"/>
      <w:color w:val="000000"/>
      <w:sz w:val="21"/>
      <w:szCs w:val="21"/>
      <w:u w:val="none"/>
    </w:rPr>
  </w:style>
  <w:style w:type="paragraph" w:styleId="4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1"/>
    <w:basedOn w:val="1"/>
    <w:next w:val="1"/>
    <w:qFormat/>
    <w:uiPriority w:val="0"/>
  </w:style>
  <w:style w:type="character" w:customStyle="1" w:styleId="49">
    <w:name w:val="副标题 字符"/>
    <w:link w:val="15"/>
    <w:qFormat/>
    <w:uiPriority w:val="0"/>
    <w:rPr>
      <w:rFonts w:ascii="等线 Light" w:hAnsi="等线 Light" w:cs="Times New Roman"/>
      <w:b/>
      <w:bCs/>
      <w:kern w:val="28"/>
      <w:sz w:val="32"/>
      <w:szCs w:val="32"/>
    </w:rPr>
  </w:style>
  <w:style w:type="paragraph" w:customStyle="1" w:styleId="50">
    <w:name w:val="正文 A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14323</Words>
  <Characters>16014</Characters>
  <Lines>56</Lines>
  <Paragraphs>15</Paragraphs>
  <TotalTime>12</TotalTime>
  <ScaleCrop>false</ScaleCrop>
  <LinksUpToDate>false</LinksUpToDate>
  <CharactersWithSpaces>16563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2023-09-13T07:51:00Z</dcterms:created>
  <dc:creator>微软用户</dc:creator>
  <cp:lastModifiedBy>刘俊</cp:lastModifiedBy>
  <cp:lastPrinted>2023-09-26T23:42:00Z</cp:lastPrinted>
  <dcterms:modified xsi:type="dcterms:W3CDTF">2024-06-28T03:12:42Z</dcterms:modified>
  <dc:title>华熙矿业有限公司招标文件</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806F450A04A045F984707542DA2CE147_13</vt:lpwstr>
  </property>
</Properties>
</file>