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03C" w:rsidRDefault="00414BC3">
      <w:pPr>
        <w:pStyle w:val="2"/>
        <w:spacing w:before="0" w:after="0" w:line="360" w:lineRule="auto"/>
        <w:jc w:val="center"/>
        <w:rPr>
          <w:rFonts w:asciiTheme="minorEastAsia" w:eastAsiaTheme="majorEastAsia" w:hAnsiTheme="minorEastAsia" w:cstheme="minorEastAsia"/>
          <w:sz w:val="32"/>
        </w:rPr>
      </w:pPr>
      <w:bookmarkStart w:id="0" w:name="_Toc446"/>
      <w:bookmarkStart w:id="1" w:name="_Toc2402"/>
      <w:bookmarkStart w:id="2" w:name="_Toc18342"/>
      <w:bookmarkStart w:id="3" w:name="OLE_LINK1"/>
      <w:r>
        <w:rPr>
          <w:rFonts w:asciiTheme="majorEastAsia" w:eastAsiaTheme="majorEastAsia" w:hAnsiTheme="majorEastAsia" w:cstheme="majorEastAsia" w:hint="eastAsia"/>
          <w:color w:val="000000"/>
          <w:sz w:val="32"/>
        </w:rPr>
        <w:t>带式输送机</w:t>
      </w:r>
      <w:r w:rsidR="0094001B">
        <w:rPr>
          <w:rFonts w:asciiTheme="majorEastAsia" w:eastAsiaTheme="majorEastAsia" w:hAnsiTheme="majorEastAsia" w:cstheme="majorEastAsia" w:hint="eastAsia"/>
          <w:color w:val="000000"/>
          <w:sz w:val="32"/>
        </w:rPr>
        <w:t>分厂</w:t>
      </w:r>
      <w:r>
        <w:rPr>
          <w:rFonts w:asciiTheme="majorEastAsia" w:eastAsiaTheme="majorEastAsia" w:hAnsiTheme="majorEastAsia" w:cstheme="majorEastAsia" w:hint="eastAsia"/>
          <w:color w:val="000000"/>
          <w:sz w:val="32"/>
        </w:rPr>
        <w:t>零部件喷涂设备招标交流计划</w:t>
      </w:r>
      <w:bookmarkEnd w:id="0"/>
    </w:p>
    <w:bookmarkEnd w:id="1"/>
    <w:bookmarkEnd w:id="2"/>
    <w:bookmarkEnd w:id="3"/>
    <w:p w:rsidR="009F603C" w:rsidRDefault="00414BC3">
      <w:pPr>
        <w:pStyle w:val="2"/>
        <w:spacing w:before="0" w:after="0" w:line="360" w:lineRule="auto"/>
        <w:rPr>
          <w:szCs w:val="24"/>
        </w:rPr>
      </w:pPr>
      <w:r>
        <w:rPr>
          <w:rFonts w:hint="eastAsia"/>
          <w:szCs w:val="24"/>
        </w:rPr>
        <w:t>一、咨询交流内容</w:t>
      </w:r>
    </w:p>
    <w:p w:rsidR="009F603C" w:rsidRDefault="00414BC3">
      <w:pPr>
        <w:pStyle w:val="20"/>
        <w:adjustRightInd w:val="0"/>
        <w:snapToGrid w:val="0"/>
        <w:spacing w:after="0" w:line="360" w:lineRule="auto"/>
        <w:ind w:leftChars="0" w:left="0" w:firstLine="480"/>
        <w:rPr>
          <w:rFonts w:ascii="宋体" w:hAnsi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我公司将采购带式输送机零部件</w:t>
      </w:r>
      <w:r>
        <w:rPr>
          <w:rFonts w:ascii="宋体" w:hAnsi="宋体" w:hint="eastAsia"/>
          <w:sz w:val="24"/>
          <w:szCs w:val="24"/>
          <w:lang w:eastAsia="zh-CN"/>
        </w:rPr>
        <w:t>涂装</w:t>
      </w:r>
      <w:r>
        <w:rPr>
          <w:rFonts w:ascii="宋体" w:hAnsi="宋体" w:hint="eastAsia"/>
          <w:sz w:val="24"/>
          <w:szCs w:val="24"/>
          <w:lang w:eastAsia="zh-CN"/>
        </w:rPr>
        <w:t>设备，请贵司根据招标及技术要求，结合自身技术应用情况，制定详细设备方案及预算。</w:t>
      </w:r>
    </w:p>
    <w:p w:rsidR="009F603C" w:rsidRDefault="00414BC3">
      <w:pPr>
        <w:pStyle w:val="2"/>
        <w:spacing w:before="0" w:after="0" w:line="360" w:lineRule="auto"/>
        <w:rPr>
          <w:szCs w:val="24"/>
        </w:rPr>
      </w:pPr>
      <w:bookmarkStart w:id="4" w:name="_Toc26045"/>
      <w:bookmarkStart w:id="5" w:name="_Toc12587"/>
      <w:bookmarkStart w:id="6" w:name="_Toc10527"/>
      <w:r>
        <w:rPr>
          <w:rFonts w:hint="eastAsia"/>
          <w:szCs w:val="24"/>
        </w:rPr>
        <w:t>二、技术交流及招标基本要求</w:t>
      </w:r>
      <w:bookmarkEnd w:id="4"/>
      <w:bookmarkEnd w:id="5"/>
      <w:bookmarkEnd w:id="6"/>
    </w:p>
    <w:p w:rsidR="009F603C" w:rsidRDefault="00414BC3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、设备招标内容</w:t>
      </w:r>
    </w:p>
    <w:p w:rsidR="009F603C" w:rsidRDefault="00414BC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本次拟购的是山西煤机装备制造有限责任公司的涂装成套设备，包括材料并运抵买方项目现场，负责安装、调试，直至验收合格，交付买方使用，即交钥匙工程。</w:t>
      </w:r>
    </w:p>
    <w:p w:rsidR="009F603C" w:rsidRDefault="00414BC3">
      <w:pPr>
        <w:pStyle w:val="a6"/>
        <w:snapToGrid w:val="0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2</w:t>
      </w:r>
      <w:r>
        <w:rPr>
          <w:rFonts w:hAnsi="宋体" w:hint="eastAsia"/>
          <w:b/>
          <w:sz w:val="24"/>
          <w:szCs w:val="24"/>
        </w:rPr>
        <w:t>、涂装线基本要求</w:t>
      </w:r>
    </w:p>
    <w:p w:rsidR="009F603C" w:rsidRDefault="00414BC3">
      <w:pPr>
        <w:pStyle w:val="a6"/>
        <w:snapToGrid w:val="0"/>
        <w:spacing w:line="360" w:lineRule="auto"/>
        <w:ind w:leftChars="200" w:left="4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）工艺路线的选择和平面布置的优化应立足高起点、高水准并充分考虑到技术上的先进性和经济上的合理性。</w:t>
      </w:r>
    </w:p>
    <w:p w:rsidR="009F603C" w:rsidRDefault="00414BC3">
      <w:pPr>
        <w:pStyle w:val="a6"/>
        <w:snapToGrid w:val="0"/>
        <w:spacing w:line="360" w:lineRule="auto"/>
        <w:ind w:leftChars="200" w:left="4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）车间设置安全通道，以满足生产管理、物料运输、消防通道等需要。</w:t>
      </w:r>
    </w:p>
    <w:p w:rsidR="009F603C" w:rsidRDefault="00414BC3">
      <w:pPr>
        <w:pStyle w:val="a6"/>
        <w:snapToGrid w:val="0"/>
        <w:spacing w:line="360" w:lineRule="auto"/>
        <w:ind w:leftChars="200" w:left="4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）生产线设备布局要求合理、整齐和美观。</w:t>
      </w:r>
    </w:p>
    <w:p w:rsidR="009F603C" w:rsidRDefault="00414BC3">
      <w:pPr>
        <w:pStyle w:val="a6"/>
        <w:snapToGrid w:val="0"/>
        <w:spacing w:line="360" w:lineRule="auto"/>
        <w:ind w:leftChars="200" w:left="4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）充分利用厂房面积</w:t>
      </w:r>
      <w:r>
        <w:rPr>
          <w:rFonts w:hAnsi="宋体"/>
          <w:sz w:val="24"/>
          <w:szCs w:val="24"/>
        </w:rPr>
        <w:t>,</w:t>
      </w:r>
      <w:r>
        <w:rPr>
          <w:rFonts w:hAnsi="宋体" w:hint="eastAsia"/>
          <w:sz w:val="24"/>
          <w:szCs w:val="24"/>
        </w:rPr>
        <w:t>保证生产能力</w:t>
      </w:r>
      <w:r>
        <w:rPr>
          <w:rFonts w:hAnsi="宋体"/>
          <w:sz w:val="24"/>
          <w:szCs w:val="24"/>
        </w:rPr>
        <w:t>,</w:t>
      </w:r>
      <w:r>
        <w:rPr>
          <w:rFonts w:hAnsi="宋体" w:hint="eastAsia"/>
          <w:sz w:val="24"/>
          <w:szCs w:val="24"/>
        </w:rPr>
        <w:t>同时保证物流运输通畅合理</w:t>
      </w:r>
      <w:r>
        <w:rPr>
          <w:rFonts w:hAnsi="宋体"/>
          <w:sz w:val="24"/>
          <w:szCs w:val="24"/>
        </w:rPr>
        <w:t>,</w:t>
      </w:r>
      <w:r>
        <w:rPr>
          <w:rFonts w:hAnsi="宋体" w:hint="eastAsia"/>
          <w:sz w:val="24"/>
          <w:szCs w:val="24"/>
        </w:rPr>
        <w:t>设备操作、维修方便。</w:t>
      </w:r>
    </w:p>
    <w:p w:rsidR="009F603C" w:rsidRDefault="00414BC3">
      <w:pPr>
        <w:pStyle w:val="a6"/>
        <w:snapToGrid w:val="0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3</w:t>
      </w:r>
      <w:r>
        <w:rPr>
          <w:rFonts w:hAnsi="宋体" w:hint="eastAsia"/>
          <w:b/>
          <w:sz w:val="24"/>
          <w:szCs w:val="24"/>
        </w:rPr>
        <w:t>、布局要求</w:t>
      </w:r>
    </w:p>
    <w:p w:rsidR="009F603C" w:rsidRDefault="00414BC3">
      <w:pPr>
        <w:pStyle w:val="a6"/>
        <w:snapToGrid w:val="0"/>
        <w:spacing w:line="360" w:lineRule="auto"/>
        <w:ind w:firstLineChars="225" w:firstLine="540"/>
        <w:rPr>
          <w:rFonts w:hAnsi="宋体"/>
          <w:kern w:val="0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）喷粉线和油漆线独立布置，具体工艺布局见附件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：</w:t>
      </w:r>
      <w:r>
        <w:rPr>
          <w:rFonts w:hAnsi="宋体" w:hint="eastAsia"/>
          <w:kern w:val="0"/>
          <w:sz w:val="24"/>
          <w:szCs w:val="24"/>
        </w:rPr>
        <w:t>示意布置方案。各投标厂家根据零部件及占地尺寸进行细化方案设计，最终以投标厂家提供投标确认图纸为准。</w:t>
      </w:r>
    </w:p>
    <w:p w:rsidR="009F603C" w:rsidRDefault="00414BC3">
      <w:pPr>
        <w:pStyle w:val="a6"/>
        <w:snapToGrid w:val="0"/>
        <w:spacing w:line="360" w:lineRule="auto"/>
        <w:ind w:firstLineChars="225" w:firstLine="5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）投标厂家提供设备平面布置图、地基图、施工图。</w:t>
      </w:r>
    </w:p>
    <w:p w:rsidR="009F603C" w:rsidRDefault="00414BC3">
      <w:pPr>
        <w:pStyle w:val="a6"/>
        <w:snapToGrid w:val="0"/>
        <w:spacing w:line="360" w:lineRule="auto"/>
        <w:ind w:firstLineChars="225" w:firstLine="5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）喷涂线最大占地尺寸：</w:t>
      </w:r>
      <w:r>
        <w:rPr>
          <w:rFonts w:hAnsi="宋体" w:hint="eastAsia"/>
          <w:sz w:val="24"/>
          <w:szCs w:val="24"/>
        </w:rPr>
        <w:t>L99.5</w:t>
      </w:r>
      <w:r>
        <w:rPr>
          <w:rFonts w:hAnsi="宋体" w:hint="eastAsia"/>
          <w:sz w:val="24"/>
          <w:szCs w:val="24"/>
        </w:rPr>
        <w:t>米</w:t>
      </w:r>
      <w:r>
        <w:rPr>
          <w:rFonts w:hAnsi="宋体" w:hint="eastAsia"/>
          <w:sz w:val="24"/>
          <w:szCs w:val="24"/>
        </w:rPr>
        <w:t>*W12.5</w:t>
      </w:r>
      <w:r>
        <w:rPr>
          <w:rFonts w:hAnsi="宋体" w:hint="eastAsia"/>
          <w:sz w:val="24"/>
          <w:szCs w:val="24"/>
        </w:rPr>
        <w:t>米</w:t>
      </w:r>
      <w:r>
        <w:rPr>
          <w:rFonts w:hAnsi="宋体" w:hint="eastAsia"/>
          <w:sz w:val="24"/>
          <w:szCs w:val="24"/>
        </w:rPr>
        <w:t>*H9</w:t>
      </w:r>
      <w:r>
        <w:rPr>
          <w:rFonts w:hAnsi="宋体" w:hint="eastAsia"/>
          <w:sz w:val="24"/>
          <w:szCs w:val="24"/>
        </w:rPr>
        <w:t>米，不含废气处理。</w:t>
      </w:r>
    </w:p>
    <w:p w:rsidR="009F603C" w:rsidRDefault="00414BC3">
      <w:pPr>
        <w:pStyle w:val="a6"/>
        <w:snapToGrid w:val="0"/>
        <w:spacing w:line="360" w:lineRule="auto"/>
        <w:ind w:firstLineChars="225" w:firstLine="54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4</w:t>
      </w:r>
      <w:r>
        <w:rPr>
          <w:rFonts w:hAnsi="宋体" w:hint="eastAsia"/>
          <w:sz w:val="24"/>
          <w:szCs w:val="24"/>
        </w:rPr>
        <w:t>）废气处理设备布置在室外。</w:t>
      </w:r>
    </w:p>
    <w:p w:rsidR="009F603C" w:rsidRDefault="00414BC3">
      <w:pPr>
        <w:pStyle w:val="a6"/>
        <w:snapToGrid w:val="0"/>
        <w:spacing w:line="360" w:lineRule="auto"/>
        <w:rPr>
          <w:rFonts w:hAnsi="宋体"/>
          <w:sz w:val="24"/>
        </w:rPr>
      </w:pPr>
      <w:r>
        <w:rPr>
          <w:rFonts w:hAnsi="宋体" w:hint="eastAsia"/>
          <w:b/>
          <w:sz w:val="24"/>
        </w:rPr>
        <w:t>4</w:t>
      </w:r>
      <w:r>
        <w:rPr>
          <w:rFonts w:hAnsi="宋体" w:hint="eastAsia"/>
          <w:b/>
          <w:sz w:val="24"/>
        </w:rPr>
        <w:t>、设计原则：</w:t>
      </w:r>
    </w:p>
    <w:p w:rsidR="009F603C" w:rsidRDefault="00414BC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本着先进、可靠、经济、实用的原则，充分考虑产品的特点，积极采用先进成熟的工艺和设备，提高产品表面质量，使涂层各项理化指标达到规定技术要求，增强产品市场竞争能力。</w:t>
      </w:r>
    </w:p>
    <w:p w:rsidR="009F603C" w:rsidRDefault="00414BC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严格按国家标准和规范进行设计、制造、安装、调试。设计以满足高效率、多品种批量生产为原则，涂装设备的先进程度、安全性、可靠性、合理性以及车间的生产工艺设计等方面达到国内先进水平。设计中做到合理布局，物流通畅；并注重设备的节能措施，合理使用能源。</w:t>
      </w:r>
    </w:p>
    <w:p w:rsidR="009F603C" w:rsidRDefault="00414BC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生产线制造涉及所有管路、阀门必须统一按照安全标示颜色进行刷涂，各阀门标示制作标示牌，要求管路整齐划一，有显目走向标示。</w:t>
      </w:r>
    </w:p>
    <w:p w:rsidR="009F603C" w:rsidRDefault="00414BC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在工艺设备、辅助配套设备、土建工程和公用工程的选择、配置上，统一协调，综合考虑、精益求精。在保证产品质量和工程整体美观大方的前提下，确保良好的投资效益。</w:t>
      </w:r>
    </w:p>
    <w:p w:rsidR="009F603C" w:rsidRDefault="00414BC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贯彻执行国家有关环境保护，劳动安全卫生方面的政策法规，整个工程达到国家规定的“三废”排放标准、工业卫生标准。</w:t>
      </w:r>
    </w:p>
    <w:p w:rsidR="009F603C" w:rsidRDefault="00414BC3">
      <w:pPr>
        <w:pStyle w:val="a6"/>
        <w:snapToGrid w:val="0"/>
        <w:spacing w:line="360" w:lineRule="auto"/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5</w:t>
      </w:r>
      <w:r>
        <w:rPr>
          <w:rFonts w:hAnsi="宋体" w:hint="eastAsia"/>
          <w:b/>
          <w:sz w:val="24"/>
          <w:szCs w:val="24"/>
        </w:rPr>
        <w:t>、工艺要求</w:t>
      </w:r>
    </w:p>
    <w:p w:rsidR="009F603C" w:rsidRDefault="00414BC3">
      <w:pPr>
        <w:pStyle w:val="a6"/>
        <w:snapToGrid w:val="0"/>
        <w:spacing w:line="360" w:lineRule="auto"/>
        <w:ind w:leftChars="200" w:left="4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）涂装后干膜总厚度</w:t>
      </w:r>
      <w:r>
        <w:rPr>
          <w:rFonts w:hAnsi="宋体" w:hint="eastAsia"/>
          <w:sz w:val="24"/>
          <w:szCs w:val="24"/>
        </w:rPr>
        <w:t>85</w:t>
      </w:r>
      <w:r>
        <w:rPr>
          <w:rFonts w:hAnsi="宋体"/>
          <w:sz w:val="24"/>
          <w:szCs w:val="24"/>
        </w:rPr>
        <w:t>～</w:t>
      </w:r>
      <w:r>
        <w:rPr>
          <w:rFonts w:hAnsi="宋体" w:hint="eastAsia"/>
          <w:sz w:val="24"/>
          <w:szCs w:val="24"/>
        </w:rPr>
        <w:t>120</w:t>
      </w:r>
      <w:r>
        <w:rPr>
          <w:rFonts w:hAnsi="宋体" w:hint="eastAsia"/>
          <w:sz w:val="24"/>
          <w:szCs w:val="24"/>
        </w:rPr>
        <w:t>μ</w:t>
      </w:r>
      <w:r>
        <w:rPr>
          <w:rFonts w:hAnsi="宋体"/>
          <w:sz w:val="24"/>
          <w:szCs w:val="24"/>
        </w:rPr>
        <w:t>m</w:t>
      </w:r>
      <w:r>
        <w:rPr>
          <w:rFonts w:hAnsi="宋体" w:hint="eastAsia"/>
          <w:sz w:val="24"/>
          <w:szCs w:val="24"/>
        </w:rPr>
        <w:t>。喷粉应均匀，涂膜不得有鼓泡、裂纹、脱落、漏涂、皱皮、桔皮等现象。</w:t>
      </w:r>
    </w:p>
    <w:p w:rsidR="009F603C" w:rsidRDefault="00414BC3">
      <w:pPr>
        <w:pStyle w:val="a6"/>
        <w:snapToGrid w:val="0"/>
        <w:spacing w:line="360" w:lineRule="auto"/>
        <w:ind w:leftChars="200" w:left="4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2</w:t>
      </w:r>
      <w:r>
        <w:rPr>
          <w:rFonts w:hAnsi="宋体" w:hint="eastAsia"/>
          <w:sz w:val="24"/>
          <w:szCs w:val="24"/>
        </w:rPr>
        <w:t>）粉</w:t>
      </w:r>
      <w:r>
        <w:rPr>
          <w:rFonts w:hAnsi="宋体" w:hint="eastAsia"/>
          <w:sz w:val="24"/>
          <w:szCs w:val="24"/>
        </w:rPr>
        <w:t>末涂膜外观应光滑、平整，无局部腻子处理现象。</w:t>
      </w:r>
    </w:p>
    <w:p w:rsidR="009F603C" w:rsidRDefault="00414BC3">
      <w:pPr>
        <w:pStyle w:val="a6"/>
        <w:snapToGrid w:val="0"/>
        <w:spacing w:line="360" w:lineRule="auto"/>
        <w:ind w:leftChars="200" w:left="4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（</w:t>
      </w:r>
      <w:r>
        <w:rPr>
          <w:rFonts w:hAnsi="宋体" w:hint="eastAsia"/>
          <w:sz w:val="24"/>
          <w:szCs w:val="24"/>
        </w:rPr>
        <w:t>3</w:t>
      </w:r>
      <w:r>
        <w:rPr>
          <w:rFonts w:hAnsi="宋体" w:hint="eastAsia"/>
          <w:sz w:val="24"/>
          <w:szCs w:val="24"/>
        </w:rPr>
        <w:t>）粉末涂膜的附着力不低于</w:t>
      </w:r>
      <w:r>
        <w:rPr>
          <w:rFonts w:hAnsi="宋体" w:hint="eastAsia"/>
          <w:sz w:val="24"/>
          <w:szCs w:val="24"/>
        </w:rPr>
        <w:t>1</w:t>
      </w:r>
      <w:r>
        <w:rPr>
          <w:rFonts w:hAnsi="宋体" w:hint="eastAsia"/>
          <w:sz w:val="24"/>
          <w:szCs w:val="24"/>
        </w:rPr>
        <w:t>级</w:t>
      </w:r>
      <w:r>
        <w:rPr>
          <w:rFonts w:hAnsi="宋体" w:hint="eastAsia"/>
          <w:sz w:val="24"/>
          <w:szCs w:val="24"/>
        </w:rPr>
        <w:t xml:space="preserve"> </w:t>
      </w:r>
    </w:p>
    <w:p w:rsidR="009F603C" w:rsidRDefault="00414BC3">
      <w:pPr>
        <w:pStyle w:val="2"/>
        <w:spacing w:before="0" w:after="0" w:line="360" w:lineRule="auto"/>
        <w:rPr>
          <w:szCs w:val="24"/>
        </w:rPr>
      </w:pPr>
      <w:bookmarkStart w:id="7" w:name="_Toc22399"/>
      <w:bookmarkStart w:id="8" w:name="_Toc18231"/>
      <w:bookmarkStart w:id="9" w:name="_Toc20093"/>
      <w:r>
        <w:rPr>
          <w:rFonts w:hint="eastAsia"/>
          <w:szCs w:val="24"/>
        </w:rPr>
        <w:t>三、设备技术要求</w:t>
      </w:r>
      <w:bookmarkEnd w:id="7"/>
      <w:bookmarkEnd w:id="8"/>
      <w:bookmarkEnd w:id="9"/>
    </w:p>
    <w:p w:rsidR="009F603C" w:rsidRDefault="00414BC3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、主要设备参数要求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75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4"/>
        <w:gridCol w:w="2147"/>
        <w:gridCol w:w="1184"/>
        <w:gridCol w:w="2087"/>
        <w:gridCol w:w="1416"/>
      </w:tblGrid>
      <w:tr w:rsidR="009F603C">
        <w:trPr>
          <w:cantSplit/>
          <w:trHeight w:val="402"/>
          <w:jc w:val="center"/>
        </w:trPr>
        <w:tc>
          <w:tcPr>
            <w:tcW w:w="724" w:type="dxa"/>
            <w:vMerge w:val="restart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2147" w:type="dxa"/>
            <w:vMerge w:val="restart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产品名称及型号</w:t>
            </w:r>
          </w:p>
        </w:tc>
        <w:tc>
          <w:tcPr>
            <w:tcW w:w="3271" w:type="dxa"/>
            <w:gridSpan w:val="2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通过产品尺寸规格</w:t>
            </w:r>
          </w:p>
        </w:tc>
        <w:tc>
          <w:tcPr>
            <w:tcW w:w="1416" w:type="dxa"/>
            <w:vMerge w:val="restart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</w:pPr>
            <w:r>
              <w:rPr>
                <w:rFonts w:ascii="宋体" w:hAnsi="宋体" w:hint="eastAsia"/>
                <w:bCs/>
                <w:sz w:val="24"/>
              </w:rPr>
              <w:t>产量</w:t>
            </w:r>
          </w:p>
        </w:tc>
      </w:tr>
      <w:tr w:rsidR="009F603C">
        <w:trPr>
          <w:cantSplit/>
          <w:trHeight w:val="730"/>
          <w:jc w:val="center"/>
        </w:trPr>
        <w:tc>
          <w:tcPr>
            <w:tcW w:w="724" w:type="dxa"/>
            <w:vMerge/>
            <w:vAlign w:val="center"/>
          </w:tcPr>
          <w:p w:rsidR="009F603C" w:rsidRDefault="009F60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147" w:type="dxa"/>
            <w:vMerge/>
            <w:vAlign w:val="center"/>
          </w:tcPr>
          <w:p w:rsidR="009F603C" w:rsidRDefault="009F603C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2"/>
                <w:szCs w:val="22"/>
              </w:rPr>
              <w:t>最大重量（</w:t>
            </w:r>
            <w:r>
              <w:rPr>
                <w:rFonts w:ascii="宋体" w:hAnsi="宋体" w:hint="eastAsia"/>
                <w:bCs/>
                <w:snapToGrid w:val="0"/>
                <w:kern w:val="0"/>
                <w:sz w:val="22"/>
                <w:szCs w:val="22"/>
              </w:rPr>
              <w:t>kg</w:t>
            </w:r>
            <w:r>
              <w:rPr>
                <w:rFonts w:ascii="宋体" w:hAnsi="宋体" w:hint="eastAsia"/>
                <w:bCs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2087" w:type="dxa"/>
            <w:shd w:val="clear" w:color="auto" w:fill="auto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2"/>
                <w:szCs w:val="22"/>
              </w:rPr>
              <w:t>最大外形尺寸</w:t>
            </w:r>
          </w:p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napToGrid w:val="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bCs/>
                <w:snapToGrid w:val="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hint="eastAsia"/>
                <w:bCs/>
                <w:snapToGrid w:val="0"/>
                <w:kern w:val="0"/>
                <w:sz w:val="22"/>
                <w:szCs w:val="22"/>
              </w:rPr>
              <w:t>mm</w:t>
            </w:r>
            <w:r>
              <w:rPr>
                <w:rFonts w:ascii="宋体" w:hAnsi="宋体" w:hint="eastAsia"/>
                <w:bCs/>
                <w:snapToGrid w:val="0"/>
                <w:kern w:val="0"/>
                <w:sz w:val="22"/>
                <w:szCs w:val="22"/>
              </w:rPr>
              <w:t>）</w:t>
            </w:r>
          </w:p>
        </w:tc>
        <w:tc>
          <w:tcPr>
            <w:tcW w:w="1416" w:type="dxa"/>
            <w:vMerge/>
            <w:vAlign w:val="center"/>
          </w:tcPr>
          <w:p w:rsidR="009F603C" w:rsidRDefault="009F603C">
            <w:pPr>
              <w:pStyle w:val="a4"/>
              <w:spacing w:before="0" w:line="360" w:lineRule="auto"/>
              <w:rPr>
                <w:rFonts w:ascii="宋体" w:hAnsi="宋体"/>
                <w:bCs/>
              </w:rPr>
            </w:pPr>
          </w:p>
        </w:tc>
      </w:tr>
      <w:tr w:rsidR="009F603C">
        <w:trPr>
          <w:cantSplit/>
          <w:trHeight w:val="746"/>
          <w:jc w:val="center"/>
        </w:trPr>
        <w:tc>
          <w:tcPr>
            <w:tcW w:w="72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2147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喷粉房</w:t>
            </w:r>
          </w:p>
        </w:tc>
        <w:tc>
          <w:tcPr>
            <w:tcW w:w="118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2000</w:t>
            </w:r>
          </w:p>
        </w:tc>
        <w:tc>
          <w:tcPr>
            <w:tcW w:w="2087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6000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ascii="宋体" w:hAnsi="宋体" w:hint="eastAsia"/>
                <w:bCs/>
                <w:sz w:val="24"/>
              </w:rPr>
              <w:t>500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ascii="宋体" w:hAnsi="宋体" w:hint="eastAsia"/>
                <w:bCs/>
                <w:sz w:val="24"/>
              </w:rPr>
              <w:t>20</w:t>
            </w:r>
            <w:r>
              <w:rPr>
                <w:rFonts w:ascii="宋体" w:hAnsi="宋体"/>
                <w:bCs/>
                <w:sz w:val="24"/>
              </w:rPr>
              <w:t>00</w:t>
            </w:r>
          </w:p>
        </w:tc>
        <w:tc>
          <w:tcPr>
            <w:tcW w:w="1416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7min/</w:t>
            </w:r>
            <w:r>
              <w:rPr>
                <w:rFonts w:ascii="宋体" w:hAnsi="宋体" w:hint="eastAsia"/>
                <w:bCs/>
                <w:sz w:val="24"/>
              </w:rPr>
              <w:t>挂</w:t>
            </w:r>
          </w:p>
        </w:tc>
      </w:tr>
      <w:tr w:rsidR="009F603C">
        <w:trPr>
          <w:cantSplit/>
          <w:trHeight w:val="746"/>
          <w:jc w:val="center"/>
        </w:trPr>
        <w:tc>
          <w:tcPr>
            <w:tcW w:w="72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bookmarkStart w:id="10" w:name="_Toc10362"/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抛丸机</w:t>
            </w:r>
          </w:p>
        </w:tc>
        <w:tc>
          <w:tcPr>
            <w:tcW w:w="118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2000</w:t>
            </w:r>
          </w:p>
        </w:tc>
        <w:tc>
          <w:tcPr>
            <w:tcW w:w="2087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6000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ascii="宋体" w:hAnsi="宋体" w:hint="eastAsia"/>
                <w:bCs/>
                <w:sz w:val="24"/>
              </w:rPr>
              <w:t>1000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ascii="宋体" w:hAnsi="宋体" w:hint="eastAsia"/>
                <w:bCs/>
                <w:sz w:val="24"/>
              </w:rPr>
              <w:t>20</w:t>
            </w:r>
            <w:r>
              <w:rPr>
                <w:rFonts w:ascii="宋体" w:hAnsi="宋体"/>
                <w:bCs/>
                <w:sz w:val="24"/>
              </w:rPr>
              <w:t>00</w:t>
            </w:r>
          </w:p>
        </w:tc>
        <w:tc>
          <w:tcPr>
            <w:tcW w:w="1416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7min/</w:t>
            </w:r>
            <w:r>
              <w:rPr>
                <w:rFonts w:ascii="宋体" w:hAnsi="宋体" w:hint="eastAsia"/>
                <w:bCs/>
                <w:sz w:val="24"/>
              </w:rPr>
              <w:t>挂</w:t>
            </w:r>
          </w:p>
        </w:tc>
      </w:tr>
      <w:tr w:rsidR="009F603C">
        <w:trPr>
          <w:cantSplit/>
          <w:trHeight w:val="746"/>
          <w:jc w:val="center"/>
        </w:trPr>
        <w:tc>
          <w:tcPr>
            <w:tcW w:w="72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3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喷漆房</w:t>
            </w:r>
          </w:p>
        </w:tc>
        <w:tc>
          <w:tcPr>
            <w:tcW w:w="118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5000</w:t>
            </w:r>
          </w:p>
        </w:tc>
        <w:tc>
          <w:tcPr>
            <w:tcW w:w="2087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6000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ascii="宋体" w:hAnsi="宋体" w:hint="eastAsia"/>
                <w:bCs/>
                <w:sz w:val="24"/>
              </w:rPr>
              <w:t>3000</w:t>
            </w:r>
            <w:r>
              <w:rPr>
                <w:rFonts w:ascii="宋体" w:hAnsi="宋体"/>
                <w:bCs/>
                <w:sz w:val="24"/>
              </w:rPr>
              <w:t>*</w:t>
            </w:r>
            <w:r>
              <w:rPr>
                <w:rFonts w:ascii="宋体" w:hAnsi="宋体" w:hint="eastAsia"/>
                <w:bCs/>
                <w:sz w:val="24"/>
              </w:rPr>
              <w:t>300</w:t>
            </w:r>
            <w:r>
              <w:rPr>
                <w:rFonts w:ascii="宋体" w:hAnsi="宋体"/>
                <w:bCs/>
                <w:sz w:val="24"/>
              </w:rPr>
              <w:t>0</w:t>
            </w:r>
          </w:p>
        </w:tc>
        <w:tc>
          <w:tcPr>
            <w:tcW w:w="1416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间歇式</w:t>
            </w:r>
          </w:p>
        </w:tc>
      </w:tr>
      <w:tr w:rsidR="009F603C">
        <w:trPr>
          <w:cantSplit/>
          <w:trHeight w:val="1591"/>
          <w:jc w:val="center"/>
        </w:trPr>
        <w:tc>
          <w:tcPr>
            <w:tcW w:w="72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其他要求</w:t>
            </w:r>
          </w:p>
        </w:tc>
        <w:tc>
          <w:tcPr>
            <w:tcW w:w="6834" w:type="dxa"/>
            <w:gridSpan w:val="4"/>
            <w:shd w:val="clear" w:color="auto" w:fill="auto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）喷粉房及其配套电气要求防爆，自动喷枪数量≥</w:t>
            </w:r>
            <w:r>
              <w:rPr>
                <w:rFonts w:ascii="宋体" w:hAnsi="宋体" w:hint="eastAsia"/>
                <w:bCs/>
                <w:sz w:val="24"/>
              </w:rPr>
              <w:t>10</w:t>
            </w:r>
            <w:r>
              <w:rPr>
                <w:rFonts w:ascii="宋体" w:hAnsi="宋体" w:hint="eastAsia"/>
                <w:bCs/>
                <w:sz w:val="24"/>
              </w:rPr>
              <w:t>把。</w:t>
            </w:r>
          </w:p>
          <w:p w:rsidR="009F603C" w:rsidRDefault="00414BC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）抛丸机抛头数量≥</w:t>
            </w:r>
            <w:r>
              <w:rPr>
                <w:rFonts w:ascii="宋体" w:hAnsi="宋体" w:hint="eastAsia"/>
                <w:bCs/>
                <w:sz w:val="24"/>
              </w:rPr>
              <w:t>8</w:t>
            </w:r>
            <w:r>
              <w:rPr>
                <w:rFonts w:ascii="宋体" w:hAnsi="宋体" w:hint="eastAsia"/>
                <w:bCs/>
                <w:sz w:val="24"/>
              </w:rPr>
              <w:t>个。</w:t>
            </w:r>
          </w:p>
          <w:p w:rsidR="009F603C" w:rsidRDefault="00414BC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）喷漆房轨道和平板车承载为</w:t>
            </w:r>
            <w:r>
              <w:rPr>
                <w:rFonts w:ascii="宋体" w:hAnsi="宋体" w:hint="eastAsia"/>
                <w:bCs/>
                <w:sz w:val="24"/>
              </w:rPr>
              <w:t>20</w:t>
            </w:r>
            <w:r>
              <w:rPr>
                <w:rFonts w:ascii="宋体" w:hAnsi="宋体" w:hint="eastAsia"/>
                <w:bCs/>
                <w:sz w:val="24"/>
              </w:rPr>
              <w:t>吨。</w:t>
            </w:r>
          </w:p>
          <w:p w:rsidR="009F603C" w:rsidRDefault="00414BC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）喷漆房过滤棉侧面布置。</w:t>
            </w:r>
          </w:p>
          <w:p w:rsidR="009F603C" w:rsidRDefault="00414BC3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5</w:t>
            </w:r>
            <w:r>
              <w:rPr>
                <w:rFonts w:ascii="宋体" w:hAnsi="宋体" w:hint="eastAsia"/>
                <w:bCs/>
                <w:sz w:val="24"/>
              </w:rPr>
              <w:t>）喷粉房和抛丸机增加二次隔离房。</w:t>
            </w:r>
          </w:p>
        </w:tc>
      </w:tr>
    </w:tbl>
    <w:p w:rsidR="009F603C" w:rsidRDefault="009F603C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9F603C" w:rsidRDefault="00414BC3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、品牌要求：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喷粉房品牌：君禾、泽享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喷粉房喷枪品牌：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</w:rPr>
        <w:t>德珼尔、台本、汉哲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楷体_GB2312"/>
          <w:bCs/>
          <w:sz w:val="24"/>
        </w:rPr>
      </w:pPr>
      <w:r>
        <w:rPr>
          <w:rFonts w:ascii="宋体" w:hAnsi="宋体" w:hint="eastAsia"/>
          <w:bCs/>
          <w:sz w:val="24"/>
        </w:rPr>
        <w:lastRenderedPageBreak/>
        <w:t>积放链：承德光大</w:t>
      </w:r>
      <w:r>
        <w:rPr>
          <w:rFonts w:ascii="宋体" w:hAnsi="宋体" w:cs="楷体_GB2312" w:hint="eastAsia"/>
          <w:bCs/>
          <w:sz w:val="24"/>
        </w:rPr>
        <w:t>、承德金龙、浙江中益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楷体_GB2312"/>
          <w:bCs/>
          <w:sz w:val="24"/>
        </w:rPr>
      </w:pPr>
      <w:r>
        <w:rPr>
          <w:rFonts w:ascii="宋体" w:hAnsi="宋体" w:cs="楷体_GB2312" w:hint="eastAsia"/>
          <w:bCs/>
          <w:sz w:val="24"/>
        </w:rPr>
        <w:t>电机减速机：</w:t>
      </w:r>
      <w:r>
        <w:rPr>
          <w:rFonts w:ascii="宋体" w:hAnsi="宋体" w:cs="楷体_GB2312" w:hint="eastAsia"/>
          <w:bCs/>
          <w:sz w:val="24"/>
        </w:rPr>
        <w:t xml:space="preserve">SEW 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楷体_GB2312"/>
          <w:bCs/>
          <w:sz w:val="24"/>
        </w:rPr>
      </w:pPr>
      <w:r>
        <w:rPr>
          <w:rFonts w:ascii="宋体" w:hAnsi="宋体" w:cs="楷体_GB2312" w:hint="eastAsia"/>
          <w:bCs/>
          <w:sz w:val="24"/>
        </w:rPr>
        <w:t>风机：上海通用、德惠国内知名品牌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楷体_GB2312"/>
          <w:bCs/>
          <w:sz w:val="24"/>
        </w:rPr>
      </w:pPr>
      <w:r>
        <w:rPr>
          <w:rFonts w:ascii="宋体" w:hAnsi="宋体" w:cs="楷体_GB2312" w:hint="eastAsia"/>
          <w:bCs/>
          <w:sz w:val="24"/>
        </w:rPr>
        <w:t>电气：西门子</w:t>
      </w:r>
      <w:r>
        <w:rPr>
          <w:rFonts w:ascii="宋体" w:hAnsi="宋体" w:cs="楷体_GB2312" w:hint="eastAsia"/>
          <w:bCs/>
          <w:sz w:val="24"/>
        </w:rPr>
        <w:t>PLC</w:t>
      </w:r>
      <w:r>
        <w:rPr>
          <w:rFonts w:ascii="宋体" w:hAnsi="宋体" w:cs="楷体_GB2312" w:hint="eastAsia"/>
          <w:bCs/>
          <w:sz w:val="24"/>
        </w:rPr>
        <w:t>、西门子触摸屏、施耐德、正泰电气元件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楷体_GB2312"/>
          <w:bCs/>
          <w:sz w:val="24"/>
        </w:rPr>
      </w:pPr>
      <w:r>
        <w:rPr>
          <w:rFonts w:ascii="宋体" w:hAnsi="宋体" w:cs="楷体_GB2312" w:hint="eastAsia"/>
          <w:bCs/>
          <w:sz w:val="24"/>
        </w:rPr>
        <w:t>燃烧机：利雅路</w:t>
      </w:r>
    </w:p>
    <w:p w:rsidR="009F603C" w:rsidRDefault="00414BC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楷体_GB2312"/>
          <w:bCs/>
          <w:sz w:val="24"/>
        </w:rPr>
      </w:pPr>
      <w:r>
        <w:rPr>
          <w:rFonts w:ascii="宋体" w:hAnsi="宋体" w:cs="楷体_GB2312" w:hint="eastAsia"/>
          <w:bCs/>
          <w:sz w:val="24"/>
        </w:rPr>
        <w:t>气动元件：选用</w:t>
      </w:r>
      <w:r>
        <w:rPr>
          <w:rFonts w:ascii="宋体" w:hAnsi="宋体" w:cs="楷体_GB2312" w:hint="eastAsia"/>
          <w:bCs/>
          <w:sz w:val="24"/>
        </w:rPr>
        <w:t>SMC</w:t>
      </w:r>
      <w:r>
        <w:rPr>
          <w:rFonts w:ascii="宋体" w:hAnsi="宋体" w:cs="楷体_GB2312" w:hint="eastAsia"/>
          <w:bCs/>
          <w:sz w:val="24"/>
        </w:rPr>
        <w:t>、亚德客等同档次品牌。</w:t>
      </w:r>
    </w:p>
    <w:p w:rsidR="009F603C" w:rsidRDefault="009F603C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sz w:val="24"/>
        </w:rPr>
      </w:pP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3</w:t>
      </w:r>
      <w:r>
        <w:rPr>
          <w:rFonts w:ascii="宋体" w:hAnsi="宋体" w:cs="楷体_GB2312" w:hint="eastAsia"/>
          <w:sz w:val="24"/>
        </w:rPr>
        <w:t>、其他要求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（</w:t>
      </w:r>
      <w:r>
        <w:rPr>
          <w:rFonts w:ascii="宋体" w:hAnsi="宋体" w:cs="楷体_GB2312" w:hint="eastAsia"/>
          <w:sz w:val="24"/>
        </w:rPr>
        <w:t>1</w:t>
      </w:r>
      <w:r>
        <w:rPr>
          <w:rFonts w:ascii="宋体" w:hAnsi="宋体" w:cs="楷体_GB2312" w:hint="eastAsia"/>
          <w:sz w:val="24"/>
        </w:rPr>
        <w:t>）检测报警装置：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每个加热</w:t>
      </w:r>
      <w:r>
        <w:rPr>
          <w:rFonts w:ascii="宋体" w:hAnsi="宋体" w:cs="楷体_GB2312" w:hint="eastAsia"/>
          <w:sz w:val="24"/>
        </w:rPr>
        <w:t>/</w:t>
      </w:r>
      <w:r>
        <w:rPr>
          <w:rFonts w:ascii="宋体" w:hAnsi="宋体" w:cs="楷体_GB2312" w:hint="eastAsia"/>
          <w:sz w:val="24"/>
        </w:rPr>
        <w:t>烘干室内部配有一套天然气浓度报警装置，实时监测加热室内的天然气浓度，防止由于燃气机燃烧不充分、阀组泄漏等各种意外情况造成的加室内天然气浓度超标，产生安全事故。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（</w:t>
      </w:r>
      <w:r>
        <w:rPr>
          <w:rFonts w:ascii="宋体" w:hAnsi="宋体" w:cs="楷体_GB2312" w:hint="eastAsia"/>
          <w:sz w:val="24"/>
        </w:rPr>
        <w:t>2</w:t>
      </w:r>
      <w:r>
        <w:rPr>
          <w:rFonts w:ascii="宋体" w:hAnsi="宋体" w:cs="楷体_GB2312" w:hint="eastAsia"/>
          <w:sz w:val="24"/>
        </w:rPr>
        <w:t>）控制系统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 xml:space="preserve">   </w:t>
      </w:r>
      <w:r>
        <w:rPr>
          <w:rFonts w:ascii="宋体" w:hAnsi="宋体" w:cs="楷体_GB2312" w:hint="eastAsia"/>
          <w:sz w:val="24"/>
        </w:rPr>
        <w:t>产线控制系统为集中控制，且具备信息接口能够接入我公司</w:t>
      </w:r>
      <w:r>
        <w:rPr>
          <w:rFonts w:ascii="宋体" w:hAnsi="宋体" w:cs="楷体_GB2312" w:hint="eastAsia"/>
          <w:sz w:val="24"/>
        </w:rPr>
        <w:t>MES</w:t>
      </w:r>
      <w:r>
        <w:rPr>
          <w:rFonts w:ascii="宋体" w:hAnsi="宋体" w:cs="楷体_GB2312" w:hint="eastAsia"/>
          <w:sz w:val="24"/>
        </w:rPr>
        <w:t>、能源管理等系统。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（</w:t>
      </w:r>
      <w:r>
        <w:rPr>
          <w:rFonts w:ascii="宋体" w:hAnsi="宋体" w:cs="楷体_GB2312" w:hint="eastAsia"/>
          <w:sz w:val="24"/>
        </w:rPr>
        <w:t>3</w:t>
      </w:r>
      <w:r>
        <w:rPr>
          <w:rFonts w:ascii="宋体" w:hAnsi="宋体" w:cs="楷体_GB2312" w:hint="eastAsia"/>
          <w:sz w:val="24"/>
        </w:rPr>
        <w:t>）电源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提供电源两处，喷粉线和喷漆房附近各一处。所供电源至设备线缆均由设备供应方提供。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（</w:t>
      </w:r>
      <w:r>
        <w:rPr>
          <w:rFonts w:ascii="宋体" w:hAnsi="宋体" w:cs="楷体_GB2312" w:hint="eastAsia"/>
          <w:sz w:val="24"/>
        </w:rPr>
        <w:t>4</w:t>
      </w:r>
      <w:r>
        <w:rPr>
          <w:rFonts w:ascii="宋体" w:hAnsi="宋体" w:cs="楷体_GB2312" w:hint="eastAsia"/>
          <w:sz w:val="24"/>
        </w:rPr>
        <w:t>）气源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提供天然气气源两处，喷粉线和喷漆房附近各一处。电源至设备线缆均有设备供应方提供。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喷粉线和喷漆房附近多处压缩空气接口，用气压力</w:t>
      </w:r>
      <w:r>
        <w:rPr>
          <w:rFonts w:ascii="宋体" w:hAnsi="宋体" w:cs="楷体_GB2312" w:hint="eastAsia"/>
          <w:sz w:val="24"/>
        </w:rPr>
        <w:t>0.6MPa</w:t>
      </w:r>
      <w:r>
        <w:rPr>
          <w:rFonts w:ascii="宋体" w:hAnsi="宋体" w:cs="楷体_GB2312" w:hint="eastAsia"/>
          <w:sz w:val="24"/>
        </w:rPr>
        <w:t>。</w:t>
      </w:r>
    </w:p>
    <w:p w:rsidR="009F603C" w:rsidRDefault="009F603C">
      <w:pPr>
        <w:adjustRightInd w:val="0"/>
        <w:snapToGrid w:val="0"/>
        <w:spacing w:line="360" w:lineRule="auto"/>
        <w:rPr>
          <w:rFonts w:ascii="宋体" w:hAnsi="宋体"/>
          <w:sz w:val="24"/>
        </w:rPr>
      </w:pPr>
    </w:p>
    <w:p w:rsidR="009F603C" w:rsidRDefault="00414BC3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、工件状态</w:t>
      </w:r>
      <w:bookmarkEnd w:id="10"/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产品材质：以</w:t>
      </w:r>
      <w:r>
        <w:rPr>
          <w:rFonts w:ascii="宋体" w:hAnsi="宋体" w:cs="宋体" w:hint="eastAsia"/>
          <w:kern w:val="0"/>
          <w:sz w:val="24"/>
        </w:rPr>
        <w:t>Q235B/Q3</w:t>
      </w:r>
      <w:r>
        <w:rPr>
          <w:rFonts w:ascii="宋体" w:hAnsi="宋体" w:cs="宋体"/>
          <w:kern w:val="0"/>
          <w:sz w:val="24"/>
        </w:rPr>
        <w:t>5</w:t>
      </w:r>
      <w:r>
        <w:rPr>
          <w:rFonts w:ascii="宋体" w:hAnsi="宋体" w:cs="宋体" w:hint="eastAsia"/>
          <w:kern w:val="0"/>
          <w:sz w:val="24"/>
        </w:rPr>
        <w:t>5B/</w:t>
      </w:r>
      <w:r>
        <w:rPr>
          <w:rFonts w:ascii="宋体" w:hAnsi="宋体" w:cs="宋体" w:hint="eastAsia"/>
          <w:kern w:val="0"/>
          <w:sz w:val="24"/>
        </w:rPr>
        <w:t>材质为主</w:t>
      </w:r>
    </w:p>
    <w:p w:rsidR="009F603C" w:rsidRDefault="00414BC3">
      <w:pPr>
        <w:pStyle w:val="a9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构件组成：钢板</w:t>
      </w:r>
      <w:r>
        <w:rPr>
          <w:rFonts w:ascii="宋体" w:hAnsi="宋体" w:cs="宋体" w:hint="eastAsia"/>
          <w:sz w:val="24"/>
          <w:szCs w:val="24"/>
        </w:rPr>
        <w:t>t2-t50</w:t>
      </w:r>
      <w:r>
        <w:rPr>
          <w:rFonts w:ascii="宋体" w:hAnsi="宋体" w:cs="宋体" w:hint="eastAsia"/>
          <w:sz w:val="24"/>
          <w:szCs w:val="24"/>
        </w:rPr>
        <w:t>；矩形管</w:t>
      </w:r>
      <w:r>
        <w:rPr>
          <w:rFonts w:ascii="宋体" w:hAnsi="宋体" w:cs="宋体" w:hint="eastAsia"/>
          <w:sz w:val="24"/>
          <w:szCs w:val="24"/>
        </w:rPr>
        <w:t>250*8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140*5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140*80*5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100*5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50*4</w:t>
      </w:r>
      <w:r>
        <w:rPr>
          <w:rFonts w:ascii="宋体" w:hAnsi="宋体" w:cs="宋体" w:hint="eastAsia"/>
          <w:sz w:val="24"/>
          <w:szCs w:val="24"/>
        </w:rPr>
        <w:t>；圆管</w:t>
      </w:r>
      <w:r>
        <w:rPr>
          <w:rFonts w:ascii="宋体" w:hAnsi="宋体" w:cs="宋体" w:hint="eastAsia"/>
          <w:sz w:val="24"/>
          <w:szCs w:val="24"/>
        </w:rPr>
        <w:t>ø133*4</w:t>
      </w:r>
      <w:r>
        <w:rPr>
          <w:rFonts w:ascii="宋体" w:hAnsi="宋体" w:cs="宋体"/>
          <w:sz w:val="24"/>
          <w:szCs w:val="24"/>
        </w:rPr>
        <w:t>;</w:t>
      </w:r>
      <w:r>
        <w:rPr>
          <w:rFonts w:ascii="宋体" w:hAnsi="宋体" w:cs="宋体" w:hint="eastAsia"/>
          <w:sz w:val="24"/>
          <w:szCs w:val="24"/>
        </w:rPr>
        <w:t>工、槽、角钢等</w:t>
      </w:r>
    </w:p>
    <w:p w:rsidR="009F603C" w:rsidRDefault="00414BC3">
      <w:pPr>
        <w:pStyle w:val="a9"/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构件形状：详见买方提供图纸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输送方式：积放输送链</w:t>
      </w:r>
    </w:p>
    <w:p w:rsidR="009F603C" w:rsidRDefault="00414BC3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、生产节拍：挂间距以满足工艺质量要求和纲领要求为计算依据。</w:t>
      </w:r>
    </w:p>
    <w:p w:rsidR="009F603C" w:rsidRDefault="00414BC3">
      <w:p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、工作制度与年时基数</w:t>
      </w:r>
    </w:p>
    <w:p w:rsidR="009F603C" w:rsidRDefault="00414BC3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本工段采用双班制，全年工作日</w:t>
      </w:r>
      <w:r>
        <w:rPr>
          <w:rFonts w:ascii="宋体" w:hAnsi="宋体" w:hint="eastAsia"/>
          <w:sz w:val="24"/>
        </w:rPr>
        <w:t>250</w:t>
      </w:r>
      <w:r>
        <w:rPr>
          <w:rFonts w:ascii="宋体" w:hAnsi="宋体" w:hint="eastAsia"/>
          <w:sz w:val="24"/>
        </w:rPr>
        <w:t>天，每班工作时间为</w:t>
      </w:r>
      <w:r>
        <w:rPr>
          <w:rFonts w:ascii="宋体" w:hAnsi="宋体" w:hint="eastAsia"/>
          <w:sz w:val="24"/>
        </w:rPr>
        <w:t>8h</w:t>
      </w:r>
      <w:r>
        <w:rPr>
          <w:rFonts w:ascii="宋体" w:hAnsi="宋体" w:hint="eastAsia"/>
          <w:sz w:val="24"/>
        </w:rPr>
        <w:t>。</w:t>
      </w:r>
    </w:p>
    <w:p w:rsidR="009F603C" w:rsidRDefault="00414BC3">
      <w:pPr>
        <w:pStyle w:val="2"/>
        <w:spacing w:before="0" w:after="0" w:line="360" w:lineRule="auto"/>
        <w:rPr>
          <w:szCs w:val="24"/>
        </w:rPr>
      </w:pPr>
      <w:bookmarkStart w:id="11" w:name="_Toc18035"/>
      <w:bookmarkStart w:id="12" w:name="_Toc690"/>
      <w:bookmarkStart w:id="13" w:name="_Toc20779"/>
      <w:r>
        <w:rPr>
          <w:rFonts w:hint="eastAsia"/>
          <w:szCs w:val="24"/>
        </w:rPr>
        <w:t>四、工艺说明</w:t>
      </w:r>
      <w:bookmarkEnd w:id="11"/>
      <w:bookmarkEnd w:id="12"/>
      <w:bookmarkEnd w:id="13"/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b/>
          <w:bCs/>
          <w:sz w:val="24"/>
          <w:lang w:val="zh-CN"/>
        </w:rPr>
      </w:pPr>
      <w:r>
        <w:rPr>
          <w:rFonts w:ascii="宋体" w:hAnsi="宋体" w:cs="楷体_GB2312"/>
          <w:b/>
          <w:bCs/>
          <w:sz w:val="24"/>
          <w:lang w:val="zh-CN"/>
        </w:rPr>
        <w:t>1</w:t>
      </w:r>
      <w:r>
        <w:rPr>
          <w:rFonts w:ascii="宋体" w:hAnsi="宋体" w:cs="楷体_GB2312" w:hint="eastAsia"/>
          <w:b/>
          <w:bCs/>
          <w:sz w:val="24"/>
          <w:lang w:val="zh-CN"/>
        </w:rPr>
        <w:t>、工艺流程</w:t>
      </w:r>
    </w:p>
    <w:tbl>
      <w:tblPr>
        <w:tblW w:w="7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1910"/>
        <w:gridCol w:w="1950"/>
        <w:gridCol w:w="2858"/>
      </w:tblGrid>
      <w:tr w:rsidR="009F603C">
        <w:trPr>
          <w:trHeight w:val="454"/>
          <w:jc w:val="center"/>
        </w:trPr>
        <w:tc>
          <w:tcPr>
            <w:tcW w:w="7612" w:type="dxa"/>
            <w:gridSpan w:val="4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喷粉工艺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工艺内容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温度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上件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抛丸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rightChars="-38" w:right="-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自动抛丸机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人工补喷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喷粉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往复机</w:t>
            </w:r>
            <w:r>
              <w:rPr>
                <w:rFonts w:ascii="宋体" w:hAnsi="宋体" w:hint="eastAsia"/>
                <w:sz w:val="24"/>
              </w:rPr>
              <w:t>+</w:t>
            </w:r>
            <w:r>
              <w:rPr>
                <w:rFonts w:ascii="宋体" w:hAnsi="宋体" w:hint="eastAsia"/>
                <w:sz w:val="24"/>
              </w:rPr>
              <w:t>人工补喷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粉末固化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180</w:t>
            </w:r>
            <w:r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220</w:t>
            </w:r>
            <w:r>
              <w:rPr>
                <w:rFonts w:ascii="宋体" w:hAnsi="宋体" w:hint="eastAsia"/>
                <w:sz w:val="24"/>
              </w:rPr>
              <w:t>℃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燃气加热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强冷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自动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下件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</w:t>
            </w:r>
          </w:p>
        </w:tc>
      </w:tr>
    </w:tbl>
    <w:p w:rsidR="009F603C" w:rsidRDefault="009F603C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b/>
          <w:bCs/>
          <w:sz w:val="24"/>
          <w:lang w:val="zh-CN"/>
        </w:rPr>
      </w:pPr>
    </w:p>
    <w:tbl>
      <w:tblPr>
        <w:tblW w:w="7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4"/>
        <w:gridCol w:w="1910"/>
        <w:gridCol w:w="1950"/>
        <w:gridCol w:w="2858"/>
      </w:tblGrid>
      <w:tr w:rsidR="009F603C">
        <w:trPr>
          <w:trHeight w:val="454"/>
          <w:jc w:val="center"/>
        </w:trPr>
        <w:tc>
          <w:tcPr>
            <w:tcW w:w="7612" w:type="dxa"/>
            <w:gridSpan w:val="4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喷漆工艺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工艺内容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温度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℃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上件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转件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rightChars="-38" w:right="-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平移车（承载</w:t>
            </w:r>
            <w:r>
              <w:rPr>
                <w:rFonts w:ascii="宋体" w:hAnsi="宋体" w:hint="eastAsia"/>
                <w:sz w:val="24"/>
              </w:rPr>
              <w:t>20T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喷漆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人工喷漆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油漆固化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60</w:t>
            </w:r>
            <w:r>
              <w:rPr>
                <w:rFonts w:ascii="宋体" w:hAnsi="宋体" w:hint="eastAsia"/>
                <w:sz w:val="24"/>
              </w:rPr>
              <w:t>～</w:t>
            </w:r>
            <w:r>
              <w:rPr>
                <w:rFonts w:ascii="宋体" w:hAnsi="宋体" w:hint="eastAsia"/>
                <w:sz w:val="24"/>
              </w:rPr>
              <w:t>80</w:t>
            </w:r>
            <w:r>
              <w:rPr>
                <w:rFonts w:ascii="宋体" w:hAnsi="宋体" w:hint="eastAsia"/>
                <w:sz w:val="24"/>
              </w:rPr>
              <w:t>℃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燃气加热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91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下件</w:t>
            </w:r>
          </w:p>
        </w:tc>
        <w:tc>
          <w:tcPr>
            <w:tcW w:w="1950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RT</w:t>
            </w:r>
          </w:p>
        </w:tc>
        <w:tc>
          <w:tcPr>
            <w:tcW w:w="2858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人工</w:t>
            </w:r>
          </w:p>
        </w:tc>
      </w:tr>
      <w:tr w:rsidR="009F603C">
        <w:trPr>
          <w:trHeight w:val="454"/>
          <w:jc w:val="center"/>
        </w:trPr>
        <w:tc>
          <w:tcPr>
            <w:tcW w:w="894" w:type="dxa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6718" w:type="dxa"/>
            <w:gridSpan w:val="3"/>
            <w:vAlign w:val="center"/>
          </w:tcPr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喷漆采用喷烘一体房，房间长宽不小于</w:t>
            </w:r>
            <w:r>
              <w:rPr>
                <w:rFonts w:ascii="宋体" w:hAnsi="宋体" w:hint="eastAsia"/>
                <w:sz w:val="24"/>
              </w:rPr>
              <w:t>8</w:t>
            </w:r>
            <w:r>
              <w:rPr>
                <w:rFonts w:ascii="宋体" w:hAnsi="宋体" w:hint="eastAsia"/>
                <w:sz w:val="24"/>
              </w:rPr>
              <w:t>米</w:t>
            </w:r>
            <w:r>
              <w:rPr>
                <w:rFonts w:ascii="宋体" w:hAnsi="宋体" w:hint="eastAsia"/>
                <w:sz w:val="24"/>
              </w:rPr>
              <w:t>*8</w:t>
            </w:r>
            <w:r>
              <w:rPr>
                <w:rFonts w:ascii="宋体" w:hAnsi="宋体" w:hint="eastAsia"/>
                <w:sz w:val="24"/>
              </w:rPr>
              <w:t>米，</w:t>
            </w:r>
          </w:p>
          <w:p w:rsidR="009F603C" w:rsidRDefault="00414BC3">
            <w:pPr>
              <w:adjustRightInd w:val="0"/>
              <w:snapToGrid w:val="0"/>
              <w:spacing w:line="360" w:lineRule="auto"/>
              <w:ind w:leftChars="-39" w:left="-82" w:rightChars="-38" w:right="-80"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通过产品尺寸长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米</w:t>
            </w:r>
            <w:r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宽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米</w:t>
            </w:r>
            <w:r>
              <w:rPr>
                <w:rFonts w:ascii="宋体" w:hAnsi="宋体" w:hint="eastAsia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高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米</w:t>
            </w:r>
          </w:p>
        </w:tc>
      </w:tr>
    </w:tbl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b/>
          <w:bCs/>
          <w:sz w:val="24"/>
          <w:lang w:val="zh-CN"/>
        </w:rPr>
      </w:pPr>
      <w:r>
        <w:rPr>
          <w:rFonts w:hint="eastAsia"/>
          <w:sz w:val="24"/>
        </w:rPr>
        <w:tab/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/>
          <w:b/>
          <w:bCs/>
          <w:sz w:val="24"/>
          <w:lang w:val="zh-CN"/>
        </w:rPr>
      </w:pPr>
      <w:r>
        <w:rPr>
          <w:rFonts w:ascii="宋体" w:hAnsi="宋体" w:cs="楷体_GB2312" w:hint="eastAsia"/>
          <w:b/>
          <w:bCs/>
          <w:sz w:val="24"/>
          <w:lang w:val="zh-CN"/>
        </w:rPr>
        <w:t>2</w:t>
      </w:r>
      <w:r>
        <w:rPr>
          <w:rFonts w:ascii="宋体" w:hAnsi="宋体" w:cs="楷体_GB2312" w:hint="eastAsia"/>
          <w:b/>
          <w:bCs/>
          <w:sz w:val="24"/>
          <w:lang w:val="zh-CN"/>
        </w:rPr>
        <w:t>、工艺说明：</w:t>
      </w:r>
    </w:p>
    <w:p w:rsidR="009F603C" w:rsidRDefault="00414BC3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工件由人工通过</w:t>
      </w:r>
      <w:r>
        <w:rPr>
          <w:rFonts w:ascii="宋体" w:hAnsi="宋体" w:cs="楷体_GB2312" w:hint="eastAsia"/>
          <w:sz w:val="24"/>
        </w:rPr>
        <w:t>叉车或行车</w:t>
      </w:r>
      <w:r>
        <w:rPr>
          <w:rFonts w:ascii="宋体" w:hAnsi="宋体" w:cs="楷体_GB2312" w:hint="eastAsia"/>
          <w:sz w:val="24"/>
          <w:lang w:val="zh-CN"/>
        </w:rPr>
        <w:t>输送至积放链升降机处，人工负责将组挂好的工件与升降机连接。</w:t>
      </w:r>
    </w:p>
    <w:p w:rsidR="009F603C" w:rsidRDefault="00414BC3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由积放链将组挂好的工件输送至抛丸机，抛丸机进行自动抛丸，人工负责检查补喷和清灰。</w:t>
      </w:r>
    </w:p>
    <w:p w:rsidR="009F603C" w:rsidRDefault="00414BC3">
      <w:pPr>
        <w:pStyle w:val="20"/>
        <w:numPr>
          <w:ilvl w:val="0"/>
          <w:numId w:val="2"/>
        </w:numPr>
        <w:spacing w:line="360" w:lineRule="auto"/>
        <w:ind w:leftChars="0" w:firstLine="480"/>
        <w:rPr>
          <w:rFonts w:ascii="宋体" w:hAnsi="宋体" w:cs="楷体_GB2312"/>
          <w:sz w:val="24"/>
          <w:szCs w:val="24"/>
          <w:lang w:val="zh-CN" w:eastAsia="zh-CN"/>
        </w:rPr>
      </w:pPr>
      <w:r>
        <w:rPr>
          <w:rFonts w:ascii="宋体" w:hAnsi="宋体" w:cs="楷体_GB2312" w:hint="eastAsia"/>
          <w:sz w:val="24"/>
          <w:szCs w:val="24"/>
          <w:lang w:val="zh-CN" w:eastAsia="zh-CN"/>
        </w:rPr>
        <w:t>工件出抛丸机后设置工件缓存工位，由人工进行检查遮蔽作业。</w:t>
      </w:r>
    </w:p>
    <w:p w:rsidR="009F603C" w:rsidRDefault="00414BC3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喷粉室选静电喷粉系统，人工＋往复机自动喷粉，高效大旋风回收系统，具备快速换色功能。</w:t>
      </w:r>
    </w:p>
    <w:p w:rsidR="009F603C" w:rsidRDefault="00414BC3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lastRenderedPageBreak/>
        <w:t>烘干采用天然气燃烧加热，加热方式为热风对流间接加热。燃烧器加热器做成独立的结构，风机设置在加热器前面，减少高温对风机的损坏，烘干室室体为单体式结构，设置自动大门。在进出口端为防止热量外溢，设置风幕。</w:t>
      </w:r>
    </w:p>
    <w:p w:rsidR="009F603C" w:rsidRDefault="00414BC3">
      <w:pPr>
        <w:numPr>
          <w:ilvl w:val="0"/>
          <w:numId w:val="2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设置强冷室，迅速降低工件烘干</w:t>
      </w:r>
      <w:r>
        <w:rPr>
          <w:rFonts w:ascii="宋体" w:hAnsi="宋体" w:cs="楷体_GB2312" w:hint="eastAsia"/>
          <w:sz w:val="24"/>
          <w:lang w:val="zh-CN"/>
        </w:rPr>
        <w:t>表面温度，以便快速进入下道工序。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b/>
          <w:sz w:val="24"/>
          <w:lang w:val="zh-CN"/>
        </w:rPr>
      </w:pPr>
      <w:r>
        <w:rPr>
          <w:rFonts w:ascii="宋体" w:hAnsi="宋体" w:cs="楷体_GB2312" w:hint="eastAsia"/>
          <w:b/>
          <w:sz w:val="24"/>
          <w:lang w:val="zh-CN"/>
        </w:rPr>
        <w:t>3</w:t>
      </w:r>
      <w:r>
        <w:rPr>
          <w:rFonts w:ascii="宋体" w:hAnsi="宋体" w:cs="楷体_GB2312" w:hint="eastAsia"/>
          <w:b/>
          <w:sz w:val="24"/>
          <w:lang w:val="zh-CN"/>
        </w:rPr>
        <w:t>、三废的治理措施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喷塑加热在生产过程中所产生的废气，全部用活性炭吸附脱附</w:t>
      </w:r>
      <w:r>
        <w:rPr>
          <w:rFonts w:ascii="宋体" w:hAnsi="宋体" w:cs="楷体_GB2312" w:hint="eastAsia"/>
          <w:sz w:val="24"/>
          <w:lang w:val="zh-CN"/>
        </w:rPr>
        <w:t>+</w:t>
      </w:r>
      <w:r>
        <w:rPr>
          <w:rFonts w:ascii="宋体" w:hAnsi="宋体" w:cs="楷体_GB2312" w:hint="eastAsia"/>
          <w:sz w:val="24"/>
          <w:lang w:val="zh-CN"/>
        </w:rPr>
        <w:t>催化燃烧处理后达标</w:t>
      </w:r>
      <w:r>
        <w:rPr>
          <w:rFonts w:ascii="宋体" w:hAnsi="宋体" w:cs="楷体_GB2312" w:hint="eastAsia"/>
          <w:sz w:val="24"/>
        </w:rPr>
        <w:t>高空</w:t>
      </w:r>
      <w:r>
        <w:rPr>
          <w:rFonts w:ascii="宋体" w:hAnsi="宋体" w:cs="楷体_GB2312" w:hint="eastAsia"/>
          <w:sz w:val="24"/>
          <w:lang w:val="zh-CN"/>
        </w:rPr>
        <w:t>排放。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</w:rPr>
      </w:pPr>
      <w:r>
        <w:rPr>
          <w:rFonts w:ascii="宋体" w:hAnsi="宋体" w:cs="楷体_GB2312" w:hint="eastAsia"/>
          <w:sz w:val="24"/>
        </w:rPr>
        <w:t>抛丸机、喷粉房除尘系统过滤方式、排放标准均需达到国家排放标准。</w:t>
      </w:r>
    </w:p>
    <w:p w:rsidR="009F603C" w:rsidRDefault="00414BC3">
      <w:pPr>
        <w:autoSpaceDE w:val="0"/>
        <w:autoSpaceDN w:val="0"/>
        <w:adjustRightInd w:val="0"/>
        <w:snapToGrid w:val="0"/>
        <w:spacing w:line="360" w:lineRule="auto"/>
        <w:rPr>
          <w:rFonts w:ascii="宋体" w:hAnsi="宋体" w:cs="楷体_GB2312"/>
          <w:b/>
          <w:sz w:val="24"/>
          <w:lang w:val="zh-CN"/>
        </w:rPr>
      </w:pPr>
      <w:r>
        <w:rPr>
          <w:rFonts w:ascii="宋体" w:hAnsi="宋体" w:cs="楷体_GB2312" w:hint="eastAsia"/>
          <w:b/>
          <w:sz w:val="24"/>
          <w:lang w:val="zh-CN"/>
        </w:rPr>
        <w:t>4</w:t>
      </w:r>
      <w:r>
        <w:rPr>
          <w:rFonts w:ascii="宋体" w:hAnsi="宋体" w:cs="楷体_GB2312" w:hint="eastAsia"/>
          <w:b/>
          <w:sz w:val="24"/>
          <w:lang w:val="zh-CN"/>
        </w:rPr>
        <w:t>、职业安全卫生</w:t>
      </w:r>
    </w:p>
    <w:p w:rsidR="009F603C" w:rsidRDefault="00414BC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对于生产过程中如风机等产生的噪声，设计中需采用减震措施，选用转速较低，质量较好的风机，使车间噪声符合国家标准，不超过</w:t>
      </w:r>
      <w:r>
        <w:rPr>
          <w:rFonts w:ascii="宋体" w:hAnsi="宋体" w:cs="楷体_GB2312" w:hint="eastAsia"/>
          <w:sz w:val="24"/>
          <w:lang w:val="zh-CN"/>
        </w:rPr>
        <w:t>7</w:t>
      </w:r>
      <w:r>
        <w:rPr>
          <w:rFonts w:ascii="宋体" w:hAnsi="宋体" w:cs="楷体_GB2312"/>
          <w:sz w:val="24"/>
          <w:lang w:val="zh-CN"/>
        </w:rPr>
        <w:t>5</w:t>
      </w:r>
      <w:r>
        <w:rPr>
          <w:rFonts w:ascii="宋体" w:hAnsi="宋体" w:cs="楷体_GB2312" w:hint="eastAsia"/>
          <w:sz w:val="24"/>
          <w:lang w:val="zh-CN"/>
        </w:rPr>
        <w:t>分贝。</w:t>
      </w:r>
    </w:p>
    <w:p w:rsidR="009F603C" w:rsidRDefault="00414BC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在防爆区内所有的用电设备场合采用了防火隔爆措施。</w:t>
      </w:r>
    </w:p>
    <w:p w:rsidR="009F603C" w:rsidRDefault="00414BC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在烘干工件时设计上考虑换气量，使循环空气中有机溶剂含量控制在一定的范围内，低于爆炸极限，减少火灾危险。</w:t>
      </w:r>
    </w:p>
    <w:p w:rsidR="009F603C" w:rsidRDefault="00414BC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外部加热管道及加热设备均设保温隔热层，以防工人烫伤。</w:t>
      </w:r>
    </w:p>
    <w:p w:rsidR="009F603C" w:rsidRDefault="00414BC3">
      <w:pPr>
        <w:numPr>
          <w:ilvl w:val="0"/>
          <w:numId w:val="3"/>
        </w:num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宋体" w:hAnsi="宋体" w:cs="楷体_GB2312"/>
          <w:sz w:val="24"/>
          <w:lang w:val="zh-CN"/>
        </w:rPr>
      </w:pPr>
      <w:r>
        <w:rPr>
          <w:rFonts w:ascii="宋体" w:hAnsi="宋体" w:cs="楷体_GB2312" w:hint="eastAsia"/>
          <w:sz w:val="24"/>
          <w:lang w:val="zh-CN"/>
        </w:rPr>
        <w:t>凡是高压电场所，均有明显的</w:t>
      </w:r>
      <w:r>
        <w:rPr>
          <w:rFonts w:ascii="宋体" w:hAnsi="宋体" w:cs="楷体_GB2312"/>
          <w:sz w:val="24"/>
          <w:lang w:val="zh-CN"/>
        </w:rPr>
        <w:t>“</w:t>
      </w:r>
      <w:r>
        <w:rPr>
          <w:rFonts w:ascii="宋体" w:hAnsi="宋体" w:cs="楷体_GB2312" w:hint="eastAsia"/>
          <w:sz w:val="24"/>
          <w:lang w:val="zh-CN"/>
        </w:rPr>
        <w:t>警示</w:t>
      </w:r>
      <w:r>
        <w:rPr>
          <w:rFonts w:ascii="宋体" w:hAnsi="宋体" w:cs="楷体_GB2312"/>
          <w:sz w:val="24"/>
          <w:lang w:val="zh-CN"/>
        </w:rPr>
        <w:t>”</w:t>
      </w:r>
      <w:r>
        <w:rPr>
          <w:rFonts w:ascii="宋体" w:hAnsi="宋体" w:cs="楷体_GB2312" w:hint="eastAsia"/>
          <w:sz w:val="24"/>
          <w:lang w:val="zh-CN"/>
        </w:rPr>
        <w:t>标志。</w:t>
      </w:r>
    </w:p>
    <w:p w:rsidR="009F603C" w:rsidRDefault="009F603C">
      <w:pPr>
        <w:snapToGrid w:val="0"/>
        <w:spacing w:line="360" w:lineRule="auto"/>
        <w:ind w:right="49"/>
        <w:rPr>
          <w:rFonts w:ascii="仿宋" w:eastAsia="仿宋" w:hAnsi="仿宋"/>
          <w:sz w:val="32"/>
          <w:szCs w:val="32"/>
        </w:rPr>
      </w:pPr>
      <w:bookmarkStart w:id="14" w:name="_GoBack"/>
      <w:bookmarkEnd w:id="14"/>
    </w:p>
    <w:p w:rsidR="009F603C" w:rsidRDefault="009F603C">
      <w:pPr>
        <w:pStyle w:val="20"/>
        <w:ind w:leftChars="0" w:left="0" w:firstLine="640"/>
        <w:rPr>
          <w:rFonts w:ascii="仿宋" w:eastAsia="仿宋" w:hAnsi="仿宋"/>
          <w:sz w:val="32"/>
          <w:szCs w:val="32"/>
          <w:lang w:eastAsia="zh-CN"/>
        </w:rPr>
      </w:pPr>
    </w:p>
    <w:p w:rsidR="009F603C" w:rsidRDefault="00414BC3">
      <w:pPr>
        <w:pStyle w:val="20"/>
        <w:ind w:leftChars="0" w:left="0" w:right="640" w:firstLineChars="950" w:firstLine="3040"/>
        <w:jc w:val="right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/>
          <w:sz w:val="32"/>
          <w:szCs w:val="32"/>
          <w:lang w:eastAsia="zh-CN"/>
        </w:rPr>
        <w:t>山西煤机装备制造有限责任公司</w:t>
      </w:r>
    </w:p>
    <w:p w:rsidR="009F603C" w:rsidRDefault="00414BC3">
      <w:pPr>
        <w:pStyle w:val="20"/>
        <w:ind w:right="640" w:firstLineChars="1300" w:firstLine="4160"/>
        <w:rPr>
          <w:sz w:val="24"/>
        </w:rPr>
      </w:pP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  <w:lang w:eastAsia="zh-CN"/>
        </w:rPr>
        <w:t>5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  <w:lang w:eastAsia="zh-CN"/>
        </w:rPr>
        <w:t>08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  <w:lang w:eastAsia="zh-CN"/>
        </w:rPr>
        <w:t>1</w:t>
      </w:r>
      <w:r>
        <w:rPr>
          <w:rFonts w:ascii="仿宋" w:eastAsia="仿宋" w:hAnsi="仿宋"/>
          <w:sz w:val="32"/>
          <w:szCs w:val="32"/>
        </w:rPr>
        <w:t>日</w:t>
      </w:r>
    </w:p>
    <w:sectPr w:rsidR="009F603C" w:rsidSect="009F603C">
      <w:pgSz w:w="11906" w:h="16838"/>
      <w:pgMar w:top="1134" w:right="1800" w:bottom="1134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BC3" w:rsidRDefault="00414BC3" w:rsidP="0094001B">
      <w:r>
        <w:separator/>
      </w:r>
    </w:p>
  </w:endnote>
  <w:endnote w:type="continuationSeparator" w:id="1">
    <w:p w:rsidR="00414BC3" w:rsidRDefault="00414BC3" w:rsidP="00940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BC3" w:rsidRDefault="00414BC3" w:rsidP="0094001B">
      <w:r>
        <w:separator/>
      </w:r>
    </w:p>
  </w:footnote>
  <w:footnote w:type="continuationSeparator" w:id="1">
    <w:p w:rsidR="00414BC3" w:rsidRDefault="00414BC3" w:rsidP="00940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B38536"/>
    <w:multiLevelType w:val="singleLevel"/>
    <w:tmpl w:val="DFB38536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E90FD8BD"/>
    <w:multiLevelType w:val="singleLevel"/>
    <w:tmpl w:val="E90FD8BD"/>
    <w:lvl w:ilvl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2">
    <w:nsid w:val="7CF51FFE"/>
    <w:multiLevelType w:val="singleLevel"/>
    <w:tmpl w:val="7CF51FFE"/>
    <w:lvl w:ilvl="0">
      <w:start w:val="1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86AB6"/>
    <w:rsid w:val="00087E52"/>
    <w:rsid w:val="000F4F86"/>
    <w:rsid w:val="00172A27"/>
    <w:rsid w:val="00414BC3"/>
    <w:rsid w:val="00821BCE"/>
    <w:rsid w:val="00936E05"/>
    <w:rsid w:val="0094001B"/>
    <w:rsid w:val="009576BE"/>
    <w:rsid w:val="0098490E"/>
    <w:rsid w:val="009F603C"/>
    <w:rsid w:val="00A32346"/>
    <w:rsid w:val="00E56624"/>
    <w:rsid w:val="018856AF"/>
    <w:rsid w:val="0CF32576"/>
    <w:rsid w:val="0F026AA1"/>
    <w:rsid w:val="134753CA"/>
    <w:rsid w:val="135E44C2"/>
    <w:rsid w:val="13846B13"/>
    <w:rsid w:val="14BE16BC"/>
    <w:rsid w:val="15FD7FC2"/>
    <w:rsid w:val="193A152D"/>
    <w:rsid w:val="19C332D1"/>
    <w:rsid w:val="1D212524"/>
    <w:rsid w:val="204F3B10"/>
    <w:rsid w:val="20F75942"/>
    <w:rsid w:val="211E264E"/>
    <w:rsid w:val="227A2DCD"/>
    <w:rsid w:val="22B0012C"/>
    <w:rsid w:val="25473008"/>
    <w:rsid w:val="283050FB"/>
    <w:rsid w:val="31E56082"/>
    <w:rsid w:val="32B75C71"/>
    <w:rsid w:val="347D25A2"/>
    <w:rsid w:val="35EF127D"/>
    <w:rsid w:val="36F6663C"/>
    <w:rsid w:val="37113076"/>
    <w:rsid w:val="3AB679A5"/>
    <w:rsid w:val="3D5D7415"/>
    <w:rsid w:val="3DF80EEB"/>
    <w:rsid w:val="3F7171A7"/>
    <w:rsid w:val="41CC4B69"/>
    <w:rsid w:val="445D7CFA"/>
    <w:rsid w:val="45CA7611"/>
    <w:rsid w:val="4F4E7DA7"/>
    <w:rsid w:val="54244390"/>
    <w:rsid w:val="565F5B54"/>
    <w:rsid w:val="581F559B"/>
    <w:rsid w:val="588C0756"/>
    <w:rsid w:val="58D2260D"/>
    <w:rsid w:val="5F751F44"/>
    <w:rsid w:val="5FB54A36"/>
    <w:rsid w:val="610C1869"/>
    <w:rsid w:val="6183303E"/>
    <w:rsid w:val="62410803"/>
    <w:rsid w:val="62A50D92"/>
    <w:rsid w:val="663D6C89"/>
    <w:rsid w:val="67F73552"/>
    <w:rsid w:val="6DC5053A"/>
    <w:rsid w:val="724E6D50"/>
    <w:rsid w:val="7329156C"/>
    <w:rsid w:val="73D47FF6"/>
    <w:rsid w:val="74C01A5C"/>
    <w:rsid w:val="74C94DB4"/>
    <w:rsid w:val="78D15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oa heading" w:uiPriority="99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603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0"/>
    <w:qFormat/>
    <w:rsid w:val="009F603C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9F603C"/>
    <w:pPr>
      <w:ind w:firstLine="420"/>
    </w:pPr>
    <w:rPr>
      <w:szCs w:val="20"/>
    </w:rPr>
  </w:style>
  <w:style w:type="paragraph" w:styleId="a4">
    <w:name w:val="toa heading"/>
    <w:basedOn w:val="a"/>
    <w:next w:val="a"/>
    <w:uiPriority w:val="99"/>
    <w:unhideWhenUsed/>
    <w:qFormat/>
    <w:rsid w:val="009F603C"/>
    <w:pPr>
      <w:spacing w:before="120"/>
    </w:pPr>
    <w:rPr>
      <w:rFonts w:ascii="Arial" w:hAnsi="Arial" w:cs="Arial"/>
      <w:sz w:val="24"/>
    </w:rPr>
  </w:style>
  <w:style w:type="paragraph" w:styleId="a5">
    <w:name w:val="Body Text Indent"/>
    <w:basedOn w:val="a"/>
    <w:qFormat/>
    <w:rsid w:val="009F603C"/>
    <w:pPr>
      <w:spacing w:line="500" w:lineRule="exact"/>
      <w:ind w:left="1260"/>
    </w:pPr>
    <w:rPr>
      <w:sz w:val="28"/>
      <w:szCs w:val="28"/>
    </w:rPr>
  </w:style>
  <w:style w:type="paragraph" w:styleId="a6">
    <w:name w:val="Plain Text"/>
    <w:basedOn w:val="a"/>
    <w:qFormat/>
    <w:rsid w:val="009F603C"/>
    <w:pPr>
      <w:adjustRightInd w:val="0"/>
      <w:textAlignment w:val="baseline"/>
    </w:pPr>
    <w:rPr>
      <w:rFonts w:ascii="宋体" w:hAnsi="Courier New"/>
      <w:szCs w:val="20"/>
    </w:rPr>
  </w:style>
  <w:style w:type="paragraph" w:styleId="a7">
    <w:name w:val="footer"/>
    <w:basedOn w:val="a"/>
    <w:uiPriority w:val="99"/>
    <w:unhideWhenUsed/>
    <w:qFormat/>
    <w:rsid w:val="009F6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iPriority w:val="99"/>
    <w:unhideWhenUsed/>
    <w:qFormat/>
    <w:rsid w:val="009F6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First Indent 2"/>
    <w:basedOn w:val="a5"/>
    <w:qFormat/>
    <w:rsid w:val="009F603C"/>
    <w:pPr>
      <w:spacing w:after="120" w:line="240" w:lineRule="auto"/>
      <w:ind w:leftChars="200" w:left="420" w:firstLineChars="200" w:firstLine="420"/>
    </w:pPr>
    <w:rPr>
      <w:rFonts w:ascii="Calibri" w:hAnsi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9F603C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Msi-pc</dc:creator>
  <cp:lastModifiedBy>zbgs004</cp:lastModifiedBy>
  <cp:revision>6</cp:revision>
  <dcterms:created xsi:type="dcterms:W3CDTF">2025-08-28T06:11:00Z</dcterms:created>
  <dcterms:modified xsi:type="dcterms:W3CDTF">2025-08-30T06:38:00Z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EC80DB91E32A4A11AEFF41C6940E7AC6_13</vt:lpwstr>
  </property>
  <property fmtid="{D5CDD505-2E9C-101B-9397-08002B2CF9AE}" pid="4" name="KSOTemplateDocerSaveRecord">
    <vt:lpwstr>eyJoZGlkIjoiODNjNmIxOTlhOTYwODU1YjMyM2Y1NTBlZDY2NWJhMTEiLCJ1c2VySWQiOiI5MjEzOTkxNTAifQ==</vt:lpwstr>
  </property>
</Properties>
</file>